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9DA0" w14:textId="77777777" w:rsidR="00847613" w:rsidRPr="00847613" w:rsidRDefault="00847613" w:rsidP="00847613">
      <w:pPr>
        <w:pStyle w:val="Framsida-Datum"/>
      </w:pPr>
      <w:bookmarkStart w:id="0" w:name="_GoBack"/>
      <w:bookmarkEnd w:id="0"/>
      <w:r w:rsidRPr="00847613">
        <w:rPr>
          <w:lang w:val="fi-FI" w:bidi="fi-FI"/>
        </w:rPr>
        <w:t>2021-11-29</w:t>
      </w:r>
    </w:p>
    <w:p w14:paraId="5315A930" w14:textId="77777777" w:rsidR="00847613" w:rsidRPr="00847613" w:rsidRDefault="00847613" w:rsidP="00847613">
      <w:pPr>
        <w:pStyle w:val="Framsida-Huvudrubrik"/>
        <w:rPr>
          <w:color w:val="0D6FB5"/>
        </w:rPr>
      </w:pPr>
      <w:r w:rsidRPr="00847613">
        <w:rPr>
          <w:color w:val="0D6FB5"/>
          <w:lang w:val="fi-FI" w:bidi="fi-FI"/>
        </w:rPr>
        <w:t>Vuoden 2022 tavoitteet ja talousarvio ja suunnitelma vuosille 2023 ja 2024</w:t>
      </w:r>
    </w:p>
    <w:p w14:paraId="01087AC5" w14:textId="77777777" w:rsidR="00175AD7" w:rsidRPr="00847613" w:rsidRDefault="00150CFD" w:rsidP="00847613">
      <w:pPr>
        <w:pStyle w:val="Framsida-Underrubrik"/>
        <w:rPr>
          <w:color w:val="0D6FB5"/>
        </w:rPr>
      </w:pPr>
      <w:r>
        <w:rPr>
          <w:color w:val="0D6FB5"/>
          <w:lang w:val="fi-FI" w:bidi="fi-FI"/>
        </w:rPr>
        <w:t>Turvallisempaa ja kestävämpää Södertäljeä varten</w:t>
      </w:r>
    </w:p>
    <w:p w14:paraId="3D5A935C" w14:textId="77777777" w:rsidR="00DA03A7" w:rsidRDefault="00DA03A7">
      <w:pPr>
        <w:spacing w:line="180" w:lineRule="auto"/>
      </w:pPr>
    </w:p>
    <w:p w14:paraId="56D40850" w14:textId="77777777" w:rsidR="00DA03A7" w:rsidRDefault="00DA03A7">
      <w:pPr>
        <w:spacing w:line="180" w:lineRule="auto"/>
      </w:pPr>
    </w:p>
    <w:p w14:paraId="1F4FCCD7" w14:textId="77777777" w:rsidR="00DA03A7" w:rsidRDefault="00DA03A7">
      <w:pPr>
        <w:spacing w:line="180" w:lineRule="auto"/>
      </w:pPr>
    </w:p>
    <w:p w14:paraId="53721D89" w14:textId="77777777" w:rsidR="00DA03A7" w:rsidRDefault="00DA03A7">
      <w:pPr>
        <w:spacing w:line="180" w:lineRule="auto"/>
      </w:pPr>
    </w:p>
    <w:p w14:paraId="5BE3EAE8" w14:textId="77777777" w:rsidR="00DA03A7" w:rsidRDefault="00DA03A7">
      <w:pPr>
        <w:spacing w:line="180" w:lineRule="auto"/>
      </w:pPr>
    </w:p>
    <w:p w14:paraId="51B7B3D3" w14:textId="77777777" w:rsidR="00DA03A7" w:rsidRPr="00DA03A7" w:rsidRDefault="00DA03A7" w:rsidP="00DA03A7">
      <w:pPr>
        <w:pStyle w:val="Default"/>
        <w:rPr>
          <w:b/>
          <w:sz w:val="18"/>
        </w:rPr>
      </w:pPr>
      <w:r w:rsidRPr="00DA03A7">
        <w:rPr>
          <w:b/>
          <w:sz w:val="18"/>
          <w:lang w:val="fi-FI" w:bidi="fi-FI"/>
        </w:rPr>
        <w:t xml:space="preserve">Vuoden 2022 tavoitteet ja talousarvio ja suunnitelma vuosille 2023 ja 2024 </w:t>
      </w:r>
      <w:r w:rsidRPr="00DA03A7">
        <w:rPr>
          <w:b/>
          <w:sz w:val="18"/>
          <w:lang w:val="fi-FI" w:bidi="fi-FI"/>
        </w:rPr>
        <w:br/>
        <w:t>Södertäljen kunta</w:t>
      </w:r>
    </w:p>
    <w:p w14:paraId="0F7A94ED" w14:textId="77777777" w:rsidR="0068017A" w:rsidRPr="00847613" w:rsidRDefault="00847613" w:rsidP="00847613">
      <w:pPr>
        <w:pStyle w:val="Rubrik1Nr"/>
        <w:rPr>
          <w:color w:val="0D6FB5"/>
        </w:rPr>
      </w:pPr>
      <w:r w:rsidRPr="00847613">
        <w:rPr>
          <w:color w:val="0D6FB5"/>
          <w:lang w:val="fi-FI" w:bidi="fi-FI"/>
        </w:rPr>
        <w:t>Johdanto</w:t>
      </w:r>
    </w:p>
    <w:p w14:paraId="6CAFF175" w14:textId="77777777" w:rsidR="00D16E36" w:rsidRDefault="00D16E36" w:rsidP="00D16E36">
      <w:pPr>
        <w:rPr>
          <w:lang w:eastAsia="sv-SE"/>
        </w:rPr>
      </w:pPr>
      <w:r>
        <w:rPr>
          <w:lang w:val="fi-FI" w:bidi="fi-FI"/>
        </w:rPr>
        <w:t xml:space="preserve">Södertälje on paikka, jossa on ainutlaatuiset maantieteelliset mahdollisuudet ja haasteet – se sijaitsee lähellä Eurooppateitä, rautateitä ja vesiteitä kaupungin ja maaseudun välillä. Se on kunta, jossa on maailmanluokan teollisuutta sekä kasvava ja mielenkiintoinen joukko pienempiä yrityksiä. On ilahduttavaa, että suuret ja koko maalle niin tärkeät vientiteollisuusyrityksemme Scania ja AstraZeneca, jotka ovat olleet kaupungissamme yli sata vuotta, jatkavat investointeja täällä. </w:t>
      </w:r>
    </w:p>
    <w:p w14:paraId="34CEF989" w14:textId="77777777" w:rsidR="00D16E36" w:rsidRDefault="00D16E36" w:rsidP="00D16E36">
      <w:pPr>
        <w:rPr>
          <w:lang w:eastAsia="sv-SE"/>
        </w:rPr>
      </w:pPr>
      <w:r>
        <w:rPr>
          <w:lang w:val="fi-FI" w:bidi="fi-FI"/>
        </w:rPr>
        <w:t>Olemme huomanneet myönteistä kehitystä monissa toiminnoissamme. Koulujen keskiarvo on parantunut ajan myötä, mutta meidän on jatkossakin panostettava kouluun, jotta useammat nuoret pääsevät lukioon.  Vanhempien koulutustausta ei saa määrittää, miten lapset ja nuoret pärjäävät koulussa. Se asettaa meille tiukat vaatimukset, mutta on yksi tärkeimmistä tehtävistämme.</w:t>
      </w:r>
    </w:p>
    <w:p w14:paraId="0347C322" w14:textId="77777777" w:rsidR="00D16E36" w:rsidRDefault="00D16E36" w:rsidP="00D16E36">
      <w:pPr>
        <w:rPr>
          <w:lang w:eastAsia="sv-SE"/>
        </w:rPr>
      </w:pPr>
      <w:r>
        <w:rPr>
          <w:lang w:val="fi-FI" w:bidi="fi-FI"/>
        </w:rPr>
        <w:t>Pandemia on riehunut ympäri maailmaa maaliskuusta 2020 alkaen, ja se saavutti myös Ruotsin ja Södertäljen. Vanhustenhuoltoon panostettiin ja huomasimme, että henkilökunnan työolojen paraneminen vaikutti myönteisesti sekä laatuun että tartunnan leviämisen vähenemiseen. Tämän kehityksen on jatkuttava.</w:t>
      </w:r>
    </w:p>
    <w:p w14:paraId="731591F7" w14:textId="77777777" w:rsidR="00D16E36" w:rsidRDefault="00D16E36" w:rsidP="00D16E36">
      <w:pPr>
        <w:rPr>
          <w:lang w:eastAsia="sv-SE"/>
        </w:rPr>
      </w:pPr>
      <w:r>
        <w:rPr>
          <w:lang w:val="fi-FI" w:bidi="fi-FI"/>
        </w:rPr>
        <w:t xml:space="preserve">Meillä on teknologisia innovaatioita sekä kukoistavat markkinat yrittäjyydelle. Södertälje on mukava paikka asua, ja urheilu-, kulttuuri- ja virkistystoiminnan tarjonta on kattava. Ilmasto- ja ympäristötyön tehostamisella sähköistämisen lisäämiseen tähtäävillä toimenpiteillä sekä paikalliseen luontoon panostamisella on hyviä vaikutuksia. </w:t>
      </w:r>
    </w:p>
    <w:p w14:paraId="1D8DADCA" w14:textId="77777777" w:rsidR="00D16E36" w:rsidRDefault="00D16E36" w:rsidP="00D16E36">
      <w:pPr>
        <w:rPr>
          <w:lang w:eastAsia="sv-SE"/>
        </w:rPr>
      </w:pPr>
      <w:r>
        <w:rPr>
          <w:lang w:val="fi-FI" w:bidi="fi-FI"/>
        </w:rPr>
        <w:t>Kaikki ei silti ole hyvin. Yksi aikamme tärkeimmistä asioista on turvallisuus ja esitämme talousarvion, jonka tarkoituksena on edistää kaikkien Södertäljen asukkaiden turvallisuutta. Yksi tärkeimmistä turvallisuuteen liittyvistä tulevaisuusinvestoinneista on koulu, ja siksi panostamme edelleen etupäässä lasten ja nuorten kasvuoloihin. Myös muut tärkeät hyvinvointitoiminnot kuten vanhustenhuolto, ovat asukkaiden hyvän elämän edellytys. Turvalliset ja vahvat hyvinvointijärjestelmät ovat vahvan yhteiskunnan kulmakiviä. Se ei kuitenkaan riitä. Hyvinvoinnin turvaaminen edellyttää vilppien ja petosyritysten vastustamista. Ennaltaehkäisevää toimintaamme sekä yhteistyötämme poliisin ja muiden viranomaisten kanssa - joka on nyt saanut nimen PAX - vahvistetaan jo yhdettätoista vuotta peräkkäin.</w:t>
      </w:r>
    </w:p>
    <w:p w14:paraId="5F50EEEE" w14:textId="77777777" w:rsidR="00D16E36" w:rsidRDefault="00D16E36" w:rsidP="00D16E36">
      <w:pPr>
        <w:rPr>
          <w:lang w:eastAsia="sv-SE"/>
        </w:rPr>
      </w:pPr>
      <w:r>
        <w:rPr>
          <w:lang w:val="fi-FI" w:bidi="fi-FI"/>
        </w:rPr>
        <w:t>Södertälje kasvaa ja lähivuosina valmistuu lisää asuntoja ja yhteisökiinteistöjä. Södertäljen keskusta saa uuden ilmeen, jotta ”kaupunkiin” saataisiin houkuteltua lisää ihmisiä. Kaiken kuntamme kehityksen on oltava kestävää. Siksi jatkamme työtämme voidaksemme siirtyä yhteiskuntaan, jossa on vähemmän ilmastopäästöjä, jossa biologinen monimuotoisuus on tallella ja jossa on puhtaammat vesistöt.</w:t>
      </w:r>
    </w:p>
    <w:p w14:paraId="3EEB046A" w14:textId="77777777" w:rsidR="00D16E36" w:rsidRDefault="00D16E36" w:rsidP="00D16E36">
      <w:pPr>
        <w:rPr>
          <w:lang w:eastAsia="sv-SE"/>
        </w:rPr>
      </w:pPr>
      <w:r>
        <w:rPr>
          <w:lang w:val="fi-FI" w:bidi="fi-FI"/>
        </w:rPr>
        <w:t>Södertäljen infrastruktuuri on fantastinen, mutta myös haavoittuva kauniin kanavamme ylittävien viiden avattavan sillan vuoksi. Siksi Södertäljen kunta on tehnyt lujasti töitä ja tarjonnut yhteisrahoitusta uudelle Södertäljen kanavan yli tai ali kulkevalle kulkureitille edellyttäen, että se tapahtuu ennen valtion suunnittelemaa moottoritiesillan laajentamista vuonna 2025, jolloin Södertälje on vaarassa lamaantua, kuten kesällä 2016.</w:t>
      </w:r>
    </w:p>
    <w:p w14:paraId="59153C2F" w14:textId="77777777" w:rsidR="00D16E36" w:rsidRDefault="00D16E36" w:rsidP="00D16E36">
      <w:pPr>
        <w:rPr>
          <w:lang w:eastAsia="sv-SE"/>
        </w:rPr>
      </w:pPr>
      <w:r>
        <w:rPr>
          <w:lang w:val="fi-FI" w:bidi="fi-FI"/>
        </w:rPr>
        <w:lastRenderedPageBreak/>
        <w:t>Vaikeina aikoina vakaus on tärkeämpää kuin koskaan. Vakaa poliittinen hallitus, vakaa talous sekä selkeät ja selvät tulevaisuudensuunnitelmat ovat edellytys voida kohdata vaikeuksia riippumatta siitä, ovatko ne maailmanlaajuisia tai paikallisia. Näin varmistamme, että Södertälje on oikealla tiellä.</w:t>
      </w:r>
    </w:p>
    <w:p w14:paraId="1EB2C393" w14:textId="77777777" w:rsidR="00D16E36" w:rsidRDefault="00D16E36" w:rsidP="00847613">
      <w:pPr>
        <w:rPr>
          <w:b/>
          <w:lang w:eastAsia="sv-SE"/>
        </w:rPr>
      </w:pPr>
    </w:p>
    <w:p w14:paraId="4B05927A" w14:textId="77777777" w:rsidR="00847613" w:rsidRPr="00847613" w:rsidRDefault="00847613" w:rsidP="00847613">
      <w:pPr>
        <w:rPr>
          <w:lang w:eastAsia="sv-SE"/>
        </w:rPr>
      </w:pPr>
      <w:r w:rsidRPr="00847613">
        <w:rPr>
          <w:b/>
          <w:lang w:val="fi-FI" w:bidi="fi-FI"/>
        </w:rPr>
        <w:br w:type="page"/>
      </w:r>
    </w:p>
    <w:p w14:paraId="2FD13560" w14:textId="77777777" w:rsidR="00847613" w:rsidRPr="00847613" w:rsidRDefault="00847613" w:rsidP="00847613">
      <w:pPr>
        <w:pStyle w:val="Rubrik2Nr"/>
        <w:rPr>
          <w:color w:val="0D6FB5"/>
          <w:lang w:eastAsia="sv-SE"/>
        </w:rPr>
      </w:pPr>
      <w:r w:rsidRPr="00847613">
        <w:rPr>
          <w:color w:val="0D6FB5"/>
          <w:lang w:val="fi-FI" w:bidi="fi-FI"/>
        </w:rPr>
        <w:lastRenderedPageBreak/>
        <w:t>Tilannekartoitus 2020</w:t>
      </w:r>
    </w:p>
    <w:p w14:paraId="07F982AA" w14:textId="77777777" w:rsidR="00B33CD9" w:rsidRDefault="00B33CD9" w:rsidP="00B33CD9">
      <w:pPr>
        <w:rPr>
          <w:lang w:eastAsia="sv-SE"/>
        </w:rPr>
      </w:pPr>
      <w:r>
        <w:rPr>
          <w:lang w:val="fi-FI" w:bidi="fi-FI"/>
        </w:rPr>
        <w:t>Ulkomaailmaa tai kulunutta vuotta ei voi analysoida mainitsematta covid-19:ta. Olemme kuitenkin voineet vuonna 2021 pandemian haittavaikutuksista huolimatta rokotusten avulla ja tekemällä erittäin kovasti töitä nähdä tämän toivottavasti täysin poikkeuksellisen ajan lopun.</w:t>
      </w:r>
    </w:p>
    <w:p w14:paraId="0A165E9F" w14:textId="77777777" w:rsidR="00B33CD9" w:rsidRDefault="00B33CD9" w:rsidP="00B33CD9">
      <w:pPr>
        <w:rPr>
          <w:lang w:eastAsia="sv-SE"/>
        </w:rPr>
      </w:pPr>
      <w:r>
        <w:rPr>
          <w:lang w:val="fi-FI" w:bidi="fi-FI"/>
        </w:rPr>
        <w:t xml:space="preserve">Talousennusteen mukaan maa saavuttaa normaalin taloustilanteen vuonna 2024. Vuoden 2020 laskusuhdanteiden jälkeen vuotta 2021 on leimannut vahva talouden elpyminen, jonka odotetaan jatkuvan hieman vähäisemmässä määrin vuosina 2022 ja 2023. </w:t>
      </w:r>
    </w:p>
    <w:p w14:paraId="1738A958" w14:textId="77777777" w:rsidR="00B33CD9" w:rsidRDefault="00B33CD9" w:rsidP="00B33CD9">
      <w:pPr>
        <w:rPr>
          <w:lang w:eastAsia="sv-SE"/>
        </w:rPr>
      </w:pPr>
      <w:r>
        <w:rPr>
          <w:lang w:val="fi-FI" w:bidi="fi-FI"/>
        </w:rPr>
        <w:t xml:space="preserve">Työttömyyden odotetaan pysyvän vuoden 2019 tason yläpuolella ja vaarana on, että jo ennestään haavoittuvat ryhmät kärsivät eniten. Pitkäaikaistyöttömyys voi jäädä pysyväksi, vaikka kokonaistyöttömyys näyttäisikin olevan laskussa. </w:t>
      </w:r>
    </w:p>
    <w:p w14:paraId="73C5558E" w14:textId="77777777" w:rsidR="00B33CD9" w:rsidRDefault="00B33CD9" w:rsidP="00B33CD9">
      <w:pPr>
        <w:rPr>
          <w:lang w:eastAsia="sv-SE"/>
        </w:rPr>
      </w:pPr>
      <w:r>
        <w:rPr>
          <w:lang w:val="fi-FI" w:bidi="fi-FI"/>
        </w:rPr>
        <w:t>Monet pitkäaikaistyöttömiksi joutuneista työskentelevät pandemian ankarasti koettelemilla aloilla, kuten hotelli- ja ravintola-alalla. Työmarkkinoilla kauimpana oleville paluu on vaikeampaa, koska esimerkiksi työharjoittelu ja kielituki saavuttavat pandemiaa edeltävän tason vasta vuoden 2021 jälkipuoliskolla.</w:t>
      </w:r>
    </w:p>
    <w:p w14:paraId="74701873" w14:textId="77777777" w:rsidR="00B33CD9" w:rsidRDefault="00B33CD9" w:rsidP="00B33CD9">
      <w:pPr>
        <w:rPr>
          <w:lang w:eastAsia="sv-SE"/>
        </w:rPr>
      </w:pPr>
      <w:r>
        <w:rPr>
          <w:lang w:val="fi-FI" w:bidi="fi-FI"/>
        </w:rPr>
        <w:t>Edelleen suurelta osin epävarmuuden leimaamana aikana Södertäljen kunnan edellytyksiin vaikuttaa valtakunnallinen työmarkkinoiden kehitys. Velvoitteen täyttämiseksi asukkaita kohtaan on varmistettava osaamisen tarjonta. Työ houkuttelevaksi työnantajaksi tulemiseksi jatkuu ja kehittyy. Tämän saavuttamiseksi kunnan tulee olla työnantaja, joka tarjoaa hyvät työehdot ja kehittymismahdollisuudet, esimerkiksi osaamisen kehittämistä vanhustenhuollon edistämishankkeen ja kunnan osaamisen tarjontarahaston kautta.</w:t>
      </w:r>
    </w:p>
    <w:p w14:paraId="0B66FB53" w14:textId="77777777" w:rsidR="00B33CD9" w:rsidRDefault="00B33CD9" w:rsidP="00B33CD9">
      <w:pPr>
        <w:rPr>
          <w:lang w:eastAsia="sv-SE"/>
        </w:rPr>
      </w:pPr>
      <w:r>
        <w:rPr>
          <w:lang w:val="fi-FI" w:bidi="fi-FI"/>
        </w:rPr>
        <w:t>On ilahduttavaa, että Södertäljen kunta jatkaa kasvuaan. Vuonna 2035 meitä arvioidaan olevan 122 740 henkilöä. Lukumääräisesti eniten lisääntyvät 6–15-vuotiaat lapset sekä ikäryhmä 65–69-vuotiaat. Kasvava väestö vaatii uusia investointeja ja asuntorakentamisen tahti jatkuu korkeana. Investointeja kaikkeen infrastruktuurista, toimitiloista ja kulttuurista tarvitaan sosiaalisten erojen vähentämiseksi, ilmastotavoitteiden saavuttamiseksi sekä tulevien kriisien kohtaamiseen vaadittavan vahvuuden rakentamiseksi.</w:t>
      </w:r>
    </w:p>
    <w:p w14:paraId="08C46943" w14:textId="77777777" w:rsidR="009F3422" w:rsidRPr="00847613" w:rsidRDefault="009F3422" w:rsidP="00847613">
      <w:pPr>
        <w:rPr>
          <w:lang w:eastAsia="sv-SE"/>
        </w:rPr>
      </w:pPr>
    </w:p>
    <w:p w14:paraId="7206D51A" w14:textId="77777777" w:rsidR="003A00A5" w:rsidRPr="00144C40" w:rsidRDefault="003A00A5" w:rsidP="00144C40">
      <w:pPr>
        <w:pStyle w:val="Rubrik1Nr"/>
        <w:rPr>
          <w:color w:val="0D6FB5"/>
        </w:rPr>
      </w:pPr>
      <w:r w:rsidRPr="00144C40">
        <w:rPr>
          <w:color w:val="0D6FB5"/>
          <w:lang w:val="fi-FI" w:bidi="fi-FI"/>
        </w:rPr>
        <w:t>Södertäljen tulee kehittyä ja kasvaa kestävällä tavalla</w:t>
      </w:r>
    </w:p>
    <w:p w14:paraId="0B2A3545" w14:textId="77777777" w:rsidR="003A00A5" w:rsidRPr="00144C40" w:rsidRDefault="003A00A5" w:rsidP="002720E5">
      <w:pPr>
        <w:pStyle w:val="Rubrik3Nr"/>
        <w:numPr>
          <w:ilvl w:val="0"/>
          <w:numId w:val="0"/>
        </w:numPr>
        <w:ind w:left="720" w:hanging="720"/>
        <w:rPr>
          <w:color w:val="0D6FB5"/>
        </w:rPr>
      </w:pPr>
      <w:r w:rsidRPr="00144C40">
        <w:rPr>
          <w:color w:val="0D6FB5"/>
          <w:lang w:val="fi-FI" w:bidi="fi-FI"/>
        </w:rPr>
        <w:t>Toimintaohjelma 2030 – maailmanlaajuiset tavoitteet</w:t>
      </w:r>
    </w:p>
    <w:p w14:paraId="6D4A3E0D" w14:textId="77777777" w:rsidR="00386B83" w:rsidRPr="00386B83" w:rsidRDefault="00386B83" w:rsidP="00386B83">
      <w:pPr>
        <w:rPr>
          <w:rFonts w:cstheme="minorHAnsi"/>
          <w:lang w:eastAsia="sv-SE"/>
        </w:rPr>
      </w:pPr>
      <w:r w:rsidRPr="00386B83">
        <w:rPr>
          <w:rFonts w:cstheme="minorHAnsi"/>
          <w:lang w:val="fi-FI" w:bidi="fi-FI"/>
        </w:rPr>
        <w:t>Södertäljen kunta käyttää termiä kestävyys kuvaamaan kehitystä, jonka haluamme nähdä ajan mittaan. Kestävä kehitys viittaa yhteiskuntaan, jossa jokainen kokee osallistuvansa ja johon luotetaan, joka on tukena, kun tarvitset hoitoa ja jossa jokaiselle annetaan mahdollisuus ja tietoa antaa oma panoksensa yhteiskunnalle parhaan kykynsä mukaan. Kestävässä kehityksessä on kyse pitkäjänteisyydestä ja se voidaan määritellä ”kehitykseksi, joka tyydyttää tämän päivän tarpeet vaarantamatta tulevien sukupolvien mahdollisuuksia tyydyttää omat tarpeensa”.</w:t>
      </w:r>
    </w:p>
    <w:p w14:paraId="543B7C72" w14:textId="77777777" w:rsidR="00386B83" w:rsidRPr="00386B83" w:rsidRDefault="00386B83" w:rsidP="00386B83">
      <w:pPr>
        <w:rPr>
          <w:rFonts w:cstheme="minorHAnsi"/>
          <w:lang w:eastAsia="sv-SE"/>
        </w:rPr>
      </w:pPr>
      <w:r w:rsidRPr="00386B83">
        <w:rPr>
          <w:rFonts w:cstheme="minorHAnsi"/>
          <w:lang w:val="fi-FI" w:bidi="fi-FI"/>
        </w:rPr>
        <w:t xml:space="preserve">Kunnan kestävän kehityksen työ perustuu vuoden 2030 toimintaohjelmaan ja maailmanlaajuisiin tavoitteisiin, mikä on kunnianhimoisin kestävän kehityksen sopimus, jonka maailman johtajat ovat koskaan hyväksyneet. Tavoitteena on vähentää köyhyyttä, epäoikeudenmukaisuutta ja eriarvoisuutta ja kääntää ilmastokriisin suunta vuoteen 2030 mennessä. Södertäljen kunta on vastuussa siitä, että tavoitteet toteutuvat maantieteellisellä alueellamme sekä toimialueillamme. Työn tulee ulottua kaikkiin kunnan toimintoihin. </w:t>
      </w:r>
    </w:p>
    <w:p w14:paraId="092207D8" w14:textId="77777777" w:rsidR="003A00A5" w:rsidRPr="003A00A5" w:rsidRDefault="00386B83" w:rsidP="00386B83">
      <w:r w:rsidRPr="00386B83">
        <w:rPr>
          <w:rFonts w:cstheme="minorHAnsi"/>
          <w:lang w:val="fi-FI" w:bidi="fi-FI"/>
        </w:rPr>
        <w:lastRenderedPageBreak/>
        <w:t>Kestävän kehityksen käsite voidaan jakaa kolmeen ulottuvuuteen – sosiaaliseen, ekologiseen ja taloudelliseen kestävyyteen. Nämä kolme ulottuvuutta menevät päällekkäin, vaikuttavat toisiinsa ja ovat toisistaan riippuvaisia ja se on kaikkien Södertäljen kunnan toimintojen yleistavoitteena.</w:t>
      </w:r>
    </w:p>
    <w:p w14:paraId="7993A88E" w14:textId="77777777" w:rsidR="003A00A5" w:rsidRPr="003A00A5" w:rsidRDefault="003A00A5" w:rsidP="00C46F5E">
      <w:pPr>
        <w:pStyle w:val="Rubrik4"/>
      </w:pPr>
      <w:r w:rsidRPr="003A00A5">
        <w:rPr>
          <w:lang w:val="fi-FI" w:bidi="fi-FI"/>
        </w:rPr>
        <w:t>Sosiaalinen kestävyys</w:t>
      </w:r>
    </w:p>
    <w:p w14:paraId="30B64D8B" w14:textId="77777777" w:rsidR="003A00A5" w:rsidRPr="003A00A5" w:rsidRDefault="00386B83" w:rsidP="003A00A5">
      <w:r w:rsidRPr="00386B83">
        <w:rPr>
          <w:lang w:val="fi-FI" w:bidi="fi-FI"/>
        </w:rPr>
        <w:t>Södertäljen kunnan osalta sosiaalinen kestävyys tarkoittaa, että kaikkien asukkaiden oikeuksista ja tarpeista huolehditaan hyvinvointiyhteiskunnassa. Sosiaalisesti kestävä yhteiskunta on tasa-arvoinen ja ihmisillä on vaikutusvaltaa ja yhtäläiset mahdollisuudet elää hyvää elämää terveinä. Hyvinvointialan toimintojen kuten koulun ja vanhustenhuollon moitteeton toiminta vahvistaa sosiaalista kestävyyttä. Yhdyskuntasuunnittelu voi edistää sosiaalista kestävyyttä monin tavoin. Siinä huomioidaan esimerkiksi se, miten infrastruktuuri, asuntorakentaminen, puistoympäristöt ja ulkoilmavirkistysalueet vaikuttavat sosiaaliseen kestävyyteen. Suvaitsevainen yhteiskunta, jossa ihmisten tasa-arvo on keskiössä, edellyttää, että ihmiset tuntevat luottamusta ja uskoa toisiaan ja yhteiskunnan yhteisiä instituutioita kohtaan, ja että he voivat osallistua yhteiskunnan kehittämiseen. Panostukset kulttuuriin, urheiluun ja demokratiaan ovat ensisijaisen tärkeitä sosiaalisen kestävyyden säilyttämisen ja kehittämisen kannalta. </w:t>
      </w:r>
    </w:p>
    <w:p w14:paraId="5CC98E02" w14:textId="77777777" w:rsidR="00C46F5E" w:rsidRDefault="003A00A5" w:rsidP="004319B8">
      <w:pPr>
        <w:pStyle w:val="Rubrik4"/>
      </w:pPr>
      <w:r w:rsidRPr="003A00A5">
        <w:rPr>
          <w:lang w:val="fi-FI" w:bidi="fi-FI"/>
        </w:rPr>
        <w:t xml:space="preserve">Ekologinen kestävyys </w:t>
      </w:r>
    </w:p>
    <w:p w14:paraId="3B59CBA0" w14:textId="77777777" w:rsidR="00C46F5E" w:rsidRPr="00C46F5E" w:rsidRDefault="00C46F5E" w:rsidP="00C46F5E">
      <w:r w:rsidRPr="00386B83">
        <w:rPr>
          <w:lang w:val="fi-FI" w:bidi="fi-FI"/>
        </w:rPr>
        <w:t>Ekologinen kestävyys tarjoaa puitteet kahdelle muulle kestävän kehityksen ulottuvuudelle, sillä maapallon ekosysteemi luo edellytykset sosiaaliselle ja taloudelliselle kestävyydelle. Terveitä ekosysteemejä tarvitaan, jotta ihmiset voivat saada elantonsa ja luoda taloudellista kehitystä. Elämme nykyään pitkän aikavälin ekologisen kestävyyden rajojen ulkopuolella, ja yhteiskunnan on sopeuduttava voidakseen elää planeetan ja lähiympäristön kestämissä puitteissa. Kestävässä kehityksessä Södertäljen kunta ottaa vastuuta päästöjen vähentämisestä ja biologisen monimuotoisuuden vahvistamisesta. Kaikkien Södertäljen kunnan toimintojen on otettava vastuu ympäristö- ja ilmastovaikutusten vähentämisestä ja näytettävä hyvää esimerkkiä. Kyseessä voi olla esimerkiksi tietämyksen lisääminen, ympäristöystävällisten tuotteiden ja materiaalien valitseminen, energiatehokkuus sekä ilmastotavoitteiden saavuttaminen. Suojelemme arvokasta luontoa ja parannamme kunnan järvien ja vesistöjen ekologista tilaa.</w:t>
      </w:r>
    </w:p>
    <w:p w14:paraId="7EE59E59" w14:textId="77777777" w:rsidR="003A00A5" w:rsidRPr="003A00A5" w:rsidRDefault="003A00A5" w:rsidP="004319B8">
      <w:pPr>
        <w:pStyle w:val="Rubrik4"/>
      </w:pPr>
      <w:r w:rsidRPr="003A00A5">
        <w:rPr>
          <w:lang w:val="fi-FI" w:bidi="fi-FI"/>
        </w:rPr>
        <w:t>Taloudellinen kestävyys</w:t>
      </w:r>
    </w:p>
    <w:p w14:paraId="49F8CBBF" w14:textId="77777777" w:rsidR="00386B83" w:rsidRDefault="00386B83" w:rsidP="00386B83">
      <w:r>
        <w:rPr>
          <w:lang w:val="fi-FI" w:bidi="fi-FI"/>
        </w:rPr>
        <w:t>Talous on työkalu sosiaalisen ja ekologisen kestävyyden saavuttamiseen. Vahva elinkeinoelämä sekä korkea ansiotyö- ja työllisyysaste luovat edellytykset kasvulle ja taloudelliselle kestävyydelle. Södertäljellä on ainutlaatuinen maantieteellinen sijainti ja vahva tutkimus- ja innovaatiokulttuuri. Södertäljen kunta edistää Ruotsin kasvua sekä pienyritysten että kilpailukykyisen vientiteollisuuden kautta. Monipuolisten työpaikkojen kautta Södertäljen kunta edistää alueen taloudellista kestävyyttä.</w:t>
      </w:r>
    </w:p>
    <w:p w14:paraId="68AD2B56" w14:textId="77777777" w:rsidR="003A00A5" w:rsidRPr="003A00A5" w:rsidRDefault="00386B83" w:rsidP="00386B83">
      <w:r>
        <w:rPr>
          <w:lang w:val="fi-FI" w:bidi="fi-FI"/>
        </w:rPr>
        <w:t>Pitkän aikavälin kestävä talous on perusta tulevaisuuden hyvinvoinnin turvaamiselle. Södertäljen kunnan taloutta tulee leimata järjestys ja tehokkuus. Yhteisen tulevaisuutemme rakentamiseksi pitkäjänteinen osaamisen tarjonta ja vastuullinen resurssien käyttö ovat tärkeitä. Kunnanvaltuusto on määritellyt järkevän taloudenhoidon suuntaviivat, mikä tarkoittaa talouden ohjaamista sekä lyhyellä että pitkällä tähtäimellä ja sitä, että jokaisen sukupolven on vastattava omista kuluistaan. Kunnan tarjoamien palveluiden ja toteuttamien toimien on kestettävä lähitulevaisuudessa.</w:t>
      </w:r>
      <w:r w:rsidR="003A00A5" w:rsidRPr="003A00A5">
        <w:rPr>
          <w:lang w:val="fi-FI" w:bidi="fi-FI"/>
        </w:rPr>
        <w:br w:type="page"/>
      </w:r>
    </w:p>
    <w:p w14:paraId="566470FC" w14:textId="77777777" w:rsidR="003A00A5" w:rsidRPr="00144C40" w:rsidRDefault="003A00A5" w:rsidP="00144C40">
      <w:pPr>
        <w:pStyle w:val="Rubrik1Nr"/>
        <w:rPr>
          <w:color w:val="0D6FB5"/>
        </w:rPr>
      </w:pPr>
      <w:r w:rsidRPr="00144C40">
        <w:rPr>
          <w:color w:val="0D6FB5"/>
          <w:lang w:val="fi-FI" w:bidi="fi-FI"/>
        </w:rPr>
        <w:lastRenderedPageBreak/>
        <w:t>Kunnanvaltuuston tavoitteet</w:t>
      </w:r>
    </w:p>
    <w:p w14:paraId="664F5F38" w14:textId="77777777" w:rsidR="003A00A5" w:rsidRPr="003A00A5" w:rsidRDefault="003A00A5" w:rsidP="003A00A5">
      <w:r w:rsidRPr="003A00A5">
        <w:rPr>
          <w:lang w:val="fi-FI" w:bidi="fi-FI"/>
        </w:rPr>
        <w:t>Södertäljen kestävän kehityksen edistämiseksi kunnanvaltuusto on asettanut kahdeksan yleistavoitetta. Tavoitteet on jaettu kuuteen tavoitealueeseen, jotka ovat tärkeitä Södertäljen pitkäjänteisen ja kestävän kehityksen kannalta.</w:t>
      </w:r>
    </w:p>
    <w:p w14:paraId="0E04C1DC" w14:textId="77777777" w:rsidR="003A00A5" w:rsidRDefault="003A00A5" w:rsidP="00144C40">
      <w:pPr>
        <w:pStyle w:val="Rubrik2Nr"/>
        <w:rPr>
          <w:color w:val="0D6FB5"/>
        </w:rPr>
      </w:pPr>
      <w:r w:rsidRPr="00144C40">
        <w:rPr>
          <w:color w:val="0D6FB5"/>
          <w:lang w:val="fi-FI" w:bidi="fi-FI"/>
        </w:rPr>
        <w:t>Yhteenveto tavoitteista kunnanvaltuustotasolla</w:t>
      </w:r>
    </w:p>
    <w:p w14:paraId="678DD894" w14:textId="77777777" w:rsidR="00144C40" w:rsidRPr="00144C40" w:rsidRDefault="00144C40" w:rsidP="00144C40"/>
    <w:tbl>
      <w:tblPr>
        <w:tblW w:w="8789" w:type="dxa"/>
        <w:tblInd w:w="-3"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1E0" w:firstRow="1" w:lastRow="1" w:firstColumn="1" w:lastColumn="1" w:noHBand="0" w:noVBand="0"/>
      </w:tblPr>
      <w:tblGrid>
        <w:gridCol w:w="1912"/>
        <w:gridCol w:w="2341"/>
        <w:gridCol w:w="4536"/>
      </w:tblGrid>
      <w:tr w:rsidR="003A00A5" w:rsidRPr="003A00A5" w14:paraId="5CF78163" w14:textId="77777777" w:rsidTr="0097516A">
        <w:trPr>
          <w:trHeight w:val="320"/>
        </w:trPr>
        <w:tc>
          <w:tcPr>
            <w:tcW w:w="1912" w:type="dxa"/>
            <w:tcBorders>
              <w:top w:val="single" w:sz="2" w:space="0" w:color="0070C0"/>
              <w:left w:val="single" w:sz="2" w:space="0" w:color="0070C0"/>
              <w:bottom w:val="single" w:sz="2" w:space="0" w:color="0070C0"/>
              <w:right w:val="single" w:sz="2" w:space="0" w:color="0070C0"/>
            </w:tcBorders>
            <w:shd w:val="clear" w:color="auto" w:fill="006FB9"/>
          </w:tcPr>
          <w:p w14:paraId="47BAA6CB" w14:textId="77777777" w:rsidR="003A00A5" w:rsidRPr="003A00A5" w:rsidRDefault="003A00A5" w:rsidP="003A00A5">
            <w:pPr>
              <w:rPr>
                <w:b/>
              </w:rPr>
            </w:pPr>
          </w:p>
        </w:tc>
        <w:tc>
          <w:tcPr>
            <w:tcW w:w="6877" w:type="dxa"/>
            <w:gridSpan w:val="2"/>
            <w:tcBorders>
              <w:top w:val="single" w:sz="2" w:space="0" w:color="0070C0"/>
              <w:left w:val="single" w:sz="2" w:space="0" w:color="0070C0"/>
              <w:bottom w:val="single" w:sz="2" w:space="0" w:color="0070C0"/>
              <w:right w:val="single" w:sz="2" w:space="0" w:color="0070C0"/>
            </w:tcBorders>
            <w:shd w:val="clear" w:color="auto" w:fill="006FB9"/>
            <w:hideMark/>
          </w:tcPr>
          <w:p w14:paraId="5E9D8B57" w14:textId="77777777" w:rsidR="003A00A5" w:rsidRPr="003A00A5" w:rsidRDefault="003A00A5" w:rsidP="003A00A5">
            <w:pPr>
              <w:rPr>
                <w:b/>
                <w:lang w:val="en-US"/>
              </w:rPr>
            </w:pPr>
            <w:r w:rsidRPr="00144C40">
              <w:rPr>
                <w:b/>
                <w:color w:val="FFFFFF"/>
                <w:lang w:val="fi-FI" w:bidi="fi-FI"/>
              </w:rPr>
              <w:t>Kohdealue</w:t>
            </w:r>
            <w:r w:rsidRPr="00144C40">
              <w:rPr>
                <w:b/>
                <w:color w:val="FFFFFF"/>
                <w:lang w:val="fi-FI" w:bidi="fi-FI"/>
              </w:rPr>
              <w:tab/>
              <w:t xml:space="preserve">               Tavoite</w:t>
            </w:r>
          </w:p>
        </w:tc>
      </w:tr>
      <w:tr w:rsidR="003A00A5" w:rsidRPr="003A00A5" w14:paraId="4323C0E7" w14:textId="77777777" w:rsidTr="002720E5">
        <w:trPr>
          <w:trHeight w:val="520"/>
        </w:trPr>
        <w:tc>
          <w:tcPr>
            <w:tcW w:w="1912" w:type="dxa"/>
            <w:vMerge w:val="restart"/>
            <w:tcBorders>
              <w:top w:val="single" w:sz="2" w:space="0" w:color="0070C0"/>
              <w:left w:val="single" w:sz="2" w:space="0" w:color="0070C0"/>
              <w:bottom w:val="single" w:sz="2" w:space="0" w:color="0070C0"/>
              <w:right w:val="single" w:sz="2" w:space="0" w:color="0070C0"/>
            </w:tcBorders>
            <w:vAlign w:val="center"/>
            <w:hideMark/>
          </w:tcPr>
          <w:p w14:paraId="1E2BABAD" w14:textId="77777777" w:rsidR="003A00A5" w:rsidRPr="003A00A5" w:rsidRDefault="003A00A5" w:rsidP="003A00A5">
            <w:pPr>
              <w:rPr>
                <w:b/>
              </w:rPr>
            </w:pPr>
            <w:r w:rsidRPr="003A00A5">
              <w:rPr>
                <w:b/>
                <w:lang w:val="fi-FI" w:bidi="fi-FI"/>
              </w:rPr>
              <w:t>Kunnan yleiset tavoitteet</w:t>
            </w:r>
          </w:p>
          <w:p w14:paraId="0C65D73B" w14:textId="77777777" w:rsidR="003A00A5" w:rsidRPr="003A00A5" w:rsidRDefault="003A00A5" w:rsidP="003A00A5">
            <w:pPr>
              <w:rPr>
                <w:b/>
              </w:rPr>
            </w:pPr>
          </w:p>
        </w:tc>
        <w:tc>
          <w:tcPr>
            <w:tcW w:w="2341" w:type="dxa"/>
            <w:tcBorders>
              <w:top w:val="single" w:sz="2" w:space="0" w:color="0070C0"/>
              <w:left w:val="single" w:sz="2" w:space="0" w:color="0070C0"/>
              <w:bottom w:val="single" w:sz="2" w:space="0" w:color="0070C0"/>
              <w:right w:val="single" w:sz="2" w:space="0" w:color="0070C0"/>
            </w:tcBorders>
            <w:vAlign w:val="center"/>
            <w:hideMark/>
          </w:tcPr>
          <w:p w14:paraId="39FE9B92" w14:textId="77777777" w:rsidR="003A00A5" w:rsidRPr="003A00A5" w:rsidRDefault="003A00A5" w:rsidP="003A00A5">
            <w:pPr>
              <w:rPr>
                <w:b/>
              </w:rPr>
            </w:pPr>
            <w:r w:rsidRPr="003A00A5">
              <w:rPr>
                <w:b/>
                <w:lang w:val="fi-FI" w:bidi="fi-FI"/>
              </w:rPr>
              <w:t>Tietokunta Södertälje</w:t>
            </w:r>
          </w:p>
        </w:tc>
        <w:tc>
          <w:tcPr>
            <w:tcW w:w="4536" w:type="dxa"/>
            <w:tcBorders>
              <w:top w:val="single" w:sz="2" w:space="0" w:color="0070C0"/>
              <w:left w:val="single" w:sz="2" w:space="0" w:color="0070C0"/>
              <w:bottom w:val="single" w:sz="2" w:space="0" w:color="0070C0"/>
              <w:right w:val="single" w:sz="2" w:space="0" w:color="0070C0"/>
            </w:tcBorders>
            <w:hideMark/>
          </w:tcPr>
          <w:p w14:paraId="77A2FF29" w14:textId="77777777" w:rsidR="003A00A5" w:rsidRPr="003A00A5" w:rsidRDefault="003A00A5" w:rsidP="005420D3">
            <w:pPr>
              <w:numPr>
                <w:ilvl w:val="0"/>
                <w:numId w:val="13"/>
              </w:numPr>
            </w:pPr>
            <w:r w:rsidRPr="003A00A5">
              <w:rPr>
                <w:lang w:val="fi-FI" w:bidi="fi-FI"/>
              </w:rPr>
              <w:t>Esiopetuksen, koulun ja aikuiskoulutuksen tuloksia on parannettava</w:t>
            </w:r>
          </w:p>
        </w:tc>
      </w:tr>
      <w:tr w:rsidR="003A00A5" w:rsidRPr="003A00A5" w14:paraId="4E8116C4" w14:textId="77777777" w:rsidTr="002720E5">
        <w:trPr>
          <w:trHeight w:val="720"/>
        </w:trPr>
        <w:tc>
          <w:tcPr>
            <w:tcW w:w="1912" w:type="dxa"/>
            <w:vMerge/>
            <w:tcBorders>
              <w:top w:val="single" w:sz="2" w:space="0" w:color="0070C0"/>
              <w:left w:val="single" w:sz="2" w:space="0" w:color="0070C0"/>
              <w:bottom w:val="single" w:sz="2" w:space="0" w:color="0070C0"/>
              <w:right w:val="single" w:sz="2" w:space="0" w:color="0070C0"/>
            </w:tcBorders>
            <w:vAlign w:val="center"/>
            <w:hideMark/>
          </w:tcPr>
          <w:p w14:paraId="4DAC453E" w14:textId="77777777" w:rsidR="003A00A5" w:rsidRPr="003A00A5" w:rsidRDefault="003A00A5" w:rsidP="003A00A5">
            <w:pPr>
              <w:rPr>
                <w:b/>
              </w:rPr>
            </w:pPr>
          </w:p>
        </w:tc>
        <w:tc>
          <w:tcPr>
            <w:tcW w:w="2341" w:type="dxa"/>
            <w:tcBorders>
              <w:top w:val="single" w:sz="2" w:space="0" w:color="0070C0"/>
              <w:left w:val="single" w:sz="2" w:space="0" w:color="0070C0"/>
              <w:bottom w:val="single" w:sz="2" w:space="0" w:color="0070C0"/>
              <w:right w:val="single" w:sz="2" w:space="0" w:color="0070C0"/>
            </w:tcBorders>
            <w:vAlign w:val="center"/>
            <w:hideMark/>
          </w:tcPr>
          <w:p w14:paraId="64E947DE" w14:textId="77777777" w:rsidR="003A00A5" w:rsidRPr="003A00A5" w:rsidRDefault="003A00A5" w:rsidP="003A00A5">
            <w:pPr>
              <w:rPr>
                <w:b/>
              </w:rPr>
            </w:pPr>
            <w:r w:rsidRPr="003A00A5">
              <w:rPr>
                <w:b/>
                <w:lang w:val="fi-FI" w:bidi="fi-FI"/>
              </w:rPr>
              <w:t>Södertäljen asukkaat</w:t>
            </w:r>
          </w:p>
        </w:tc>
        <w:tc>
          <w:tcPr>
            <w:tcW w:w="4536" w:type="dxa"/>
            <w:tcBorders>
              <w:top w:val="single" w:sz="2" w:space="0" w:color="0070C0"/>
              <w:left w:val="single" w:sz="2" w:space="0" w:color="0070C0"/>
              <w:bottom w:val="single" w:sz="2" w:space="0" w:color="0070C0"/>
              <w:right w:val="single" w:sz="2" w:space="0" w:color="0070C0"/>
            </w:tcBorders>
            <w:hideMark/>
          </w:tcPr>
          <w:p w14:paraId="64770283" w14:textId="77777777" w:rsidR="003A00A5" w:rsidRPr="003A00A5" w:rsidRDefault="003A00A5" w:rsidP="005420D3">
            <w:pPr>
              <w:numPr>
                <w:ilvl w:val="0"/>
                <w:numId w:val="14"/>
              </w:numPr>
            </w:pPr>
            <w:r w:rsidRPr="003A00A5">
              <w:rPr>
                <w:lang w:val="fi-FI" w:bidi="fi-FI"/>
              </w:rPr>
              <w:t>Asukkailla on vaikutusvaltaa ja mahdollisuus osallistua</w:t>
            </w:r>
          </w:p>
          <w:p w14:paraId="44A846E3" w14:textId="77777777" w:rsidR="003A00A5" w:rsidRPr="003A00A5" w:rsidRDefault="003A00A5" w:rsidP="005420D3">
            <w:pPr>
              <w:numPr>
                <w:ilvl w:val="0"/>
                <w:numId w:val="14"/>
              </w:numPr>
            </w:pPr>
            <w:r w:rsidRPr="003A00A5">
              <w:rPr>
                <w:lang w:val="fi-FI" w:bidi="fi-FI"/>
              </w:rPr>
              <w:t>Asukkailla on hyvät elinolot</w:t>
            </w:r>
          </w:p>
          <w:p w14:paraId="06B45081" w14:textId="77777777" w:rsidR="003A00A5" w:rsidRPr="003A00A5" w:rsidRDefault="003A00A5" w:rsidP="005420D3">
            <w:pPr>
              <w:numPr>
                <w:ilvl w:val="0"/>
                <w:numId w:val="14"/>
              </w:numPr>
            </w:pPr>
            <w:r w:rsidRPr="003A00A5">
              <w:rPr>
                <w:lang w:val="fi-FI" w:bidi="fi-FI"/>
              </w:rPr>
              <w:t>Asukkaat saavat hyvää palvelua ja hyvän saatavuuden</w:t>
            </w:r>
          </w:p>
        </w:tc>
      </w:tr>
      <w:tr w:rsidR="003A00A5" w:rsidRPr="003A00A5" w14:paraId="7BB283F9" w14:textId="77777777" w:rsidTr="002720E5">
        <w:trPr>
          <w:trHeight w:val="720"/>
        </w:trPr>
        <w:tc>
          <w:tcPr>
            <w:tcW w:w="1912" w:type="dxa"/>
            <w:vMerge/>
            <w:tcBorders>
              <w:top w:val="single" w:sz="2" w:space="0" w:color="0070C0"/>
              <w:left w:val="single" w:sz="2" w:space="0" w:color="0070C0"/>
              <w:bottom w:val="single" w:sz="2" w:space="0" w:color="0070C0"/>
              <w:right w:val="single" w:sz="2" w:space="0" w:color="0070C0"/>
            </w:tcBorders>
            <w:vAlign w:val="center"/>
            <w:hideMark/>
          </w:tcPr>
          <w:p w14:paraId="495335FE" w14:textId="77777777" w:rsidR="003A00A5" w:rsidRPr="003A00A5" w:rsidRDefault="003A00A5" w:rsidP="003A00A5">
            <w:pPr>
              <w:rPr>
                <w:b/>
              </w:rPr>
            </w:pPr>
          </w:p>
        </w:tc>
        <w:tc>
          <w:tcPr>
            <w:tcW w:w="2341" w:type="dxa"/>
            <w:tcBorders>
              <w:top w:val="single" w:sz="2" w:space="0" w:color="0070C0"/>
              <w:left w:val="single" w:sz="2" w:space="0" w:color="0070C0"/>
              <w:bottom w:val="single" w:sz="2" w:space="0" w:color="0070C0"/>
              <w:right w:val="single" w:sz="2" w:space="0" w:color="0070C0"/>
            </w:tcBorders>
            <w:vAlign w:val="center"/>
            <w:hideMark/>
          </w:tcPr>
          <w:p w14:paraId="184B347B" w14:textId="77777777" w:rsidR="003A00A5" w:rsidRPr="003A00A5" w:rsidRDefault="003A00A5" w:rsidP="003A00A5">
            <w:pPr>
              <w:rPr>
                <w:b/>
              </w:rPr>
            </w:pPr>
            <w:r w:rsidRPr="003A00A5">
              <w:rPr>
                <w:b/>
                <w:lang w:val="fi-FI" w:bidi="fi-FI"/>
              </w:rPr>
              <w:t>Houkutteleva Södertälje</w:t>
            </w:r>
          </w:p>
        </w:tc>
        <w:tc>
          <w:tcPr>
            <w:tcW w:w="4536" w:type="dxa"/>
            <w:tcBorders>
              <w:top w:val="single" w:sz="2" w:space="0" w:color="0070C0"/>
              <w:left w:val="single" w:sz="2" w:space="0" w:color="0070C0"/>
              <w:bottom w:val="single" w:sz="2" w:space="0" w:color="0070C0"/>
              <w:right w:val="single" w:sz="2" w:space="0" w:color="0070C0"/>
            </w:tcBorders>
            <w:hideMark/>
          </w:tcPr>
          <w:p w14:paraId="1829190B" w14:textId="77777777" w:rsidR="003A00A5" w:rsidRPr="003A00A5" w:rsidRDefault="003A00A5" w:rsidP="005420D3">
            <w:pPr>
              <w:numPr>
                <w:ilvl w:val="0"/>
                <w:numId w:val="15"/>
              </w:numPr>
            </w:pPr>
            <w:r w:rsidRPr="003A00A5">
              <w:rPr>
                <w:lang w:val="fi-FI" w:bidi="fi-FI"/>
              </w:rPr>
              <w:t>Södertälje on houkutteleva kunta asua ja harjoittaa liiketoimintaa sekä paikka, joka houkuttelee opiskelijoita ja vierailijoita</w:t>
            </w:r>
          </w:p>
        </w:tc>
      </w:tr>
      <w:tr w:rsidR="003A00A5" w:rsidRPr="003A00A5" w14:paraId="27AB0B47" w14:textId="77777777" w:rsidTr="002720E5">
        <w:trPr>
          <w:trHeight w:val="520"/>
        </w:trPr>
        <w:tc>
          <w:tcPr>
            <w:tcW w:w="1912" w:type="dxa"/>
            <w:vMerge/>
            <w:tcBorders>
              <w:top w:val="single" w:sz="2" w:space="0" w:color="0070C0"/>
              <w:left w:val="single" w:sz="2" w:space="0" w:color="0070C0"/>
              <w:bottom w:val="single" w:sz="2" w:space="0" w:color="0070C0"/>
              <w:right w:val="single" w:sz="2" w:space="0" w:color="0070C0"/>
            </w:tcBorders>
            <w:vAlign w:val="center"/>
            <w:hideMark/>
          </w:tcPr>
          <w:p w14:paraId="0A7DE484" w14:textId="77777777" w:rsidR="003A00A5" w:rsidRPr="003A00A5" w:rsidRDefault="003A00A5" w:rsidP="003A00A5">
            <w:pPr>
              <w:rPr>
                <w:b/>
              </w:rPr>
            </w:pPr>
          </w:p>
        </w:tc>
        <w:tc>
          <w:tcPr>
            <w:tcW w:w="2341" w:type="dxa"/>
            <w:tcBorders>
              <w:top w:val="single" w:sz="2" w:space="0" w:color="0070C0"/>
              <w:left w:val="single" w:sz="2" w:space="0" w:color="0070C0"/>
              <w:bottom w:val="single" w:sz="2" w:space="0" w:color="0070C0"/>
              <w:right w:val="single" w:sz="2" w:space="0" w:color="0070C0"/>
            </w:tcBorders>
            <w:vAlign w:val="center"/>
            <w:hideMark/>
          </w:tcPr>
          <w:p w14:paraId="1AB45593" w14:textId="77777777" w:rsidR="003A00A5" w:rsidRPr="003A00A5" w:rsidRDefault="003A00A5" w:rsidP="003A00A5">
            <w:pPr>
              <w:rPr>
                <w:b/>
              </w:rPr>
            </w:pPr>
            <w:r w:rsidRPr="003A00A5">
              <w:rPr>
                <w:b/>
                <w:lang w:val="fi-FI" w:bidi="fi-FI"/>
              </w:rPr>
              <w:t>Ekologisesti kestävä Södertäljen kunta</w:t>
            </w:r>
          </w:p>
        </w:tc>
        <w:tc>
          <w:tcPr>
            <w:tcW w:w="4536" w:type="dxa"/>
            <w:tcBorders>
              <w:top w:val="single" w:sz="2" w:space="0" w:color="0070C0"/>
              <w:left w:val="single" w:sz="2" w:space="0" w:color="0070C0"/>
              <w:bottom w:val="single" w:sz="2" w:space="0" w:color="0070C0"/>
              <w:right w:val="single" w:sz="2" w:space="0" w:color="0070C0"/>
            </w:tcBorders>
            <w:hideMark/>
          </w:tcPr>
          <w:p w14:paraId="1343B608" w14:textId="77777777" w:rsidR="003A00A5" w:rsidRPr="003A00A5" w:rsidRDefault="003A00A5" w:rsidP="005420D3">
            <w:pPr>
              <w:numPr>
                <w:ilvl w:val="0"/>
                <w:numId w:val="16"/>
              </w:numPr>
            </w:pPr>
            <w:r w:rsidRPr="003A00A5">
              <w:rPr>
                <w:lang w:val="fi-FI" w:bidi="fi-FI"/>
              </w:rPr>
              <w:t>Södertäljen kunta vähentää päästöjään ja ympäristövaikutuksiaan sekä luo asukkaille ja yrityksille edellytykset elää kestävän kehityksen periaatteiden mukaisesti</w:t>
            </w:r>
          </w:p>
        </w:tc>
      </w:tr>
      <w:tr w:rsidR="003A00A5" w:rsidRPr="003A00A5" w14:paraId="20C3B6A8" w14:textId="77777777" w:rsidTr="002720E5">
        <w:trPr>
          <w:trHeight w:val="758"/>
        </w:trPr>
        <w:tc>
          <w:tcPr>
            <w:tcW w:w="1912" w:type="dxa"/>
            <w:vMerge w:val="restart"/>
            <w:tcBorders>
              <w:top w:val="single" w:sz="2" w:space="0" w:color="0070C0"/>
              <w:left w:val="single" w:sz="2" w:space="0" w:color="0070C0"/>
              <w:bottom w:val="single" w:sz="2" w:space="0" w:color="0070C0"/>
              <w:right w:val="single" w:sz="2" w:space="0" w:color="0070C0"/>
            </w:tcBorders>
            <w:vAlign w:val="center"/>
            <w:hideMark/>
          </w:tcPr>
          <w:p w14:paraId="67DC6960" w14:textId="77777777" w:rsidR="003A00A5" w:rsidRPr="003A00A5" w:rsidRDefault="003A00A5" w:rsidP="003A00A5">
            <w:pPr>
              <w:rPr>
                <w:b/>
              </w:rPr>
            </w:pPr>
            <w:r w:rsidRPr="003A00A5">
              <w:rPr>
                <w:b/>
                <w:lang w:val="fi-FI" w:bidi="fi-FI"/>
              </w:rPr>
              <w:t>Tavoitteet, joilla turvataan resurssit kunnan yleisiin tavoitteisiin</w:t>
            </w:r>
          </w:p>
        </w:tc>
        <w:tc>
          <w:tcPr>
            <w:tcW w:w="2341" w:type="dxa"/>
            <w:tcBorders>
              <w:top w:val="single" w:sz="2" w:space="0" w:color="0070C0"/>
              <w:left w:val="single" w:sz="2" w:space="0" w:color="0070C0"/>
              <w:bottom w:val="single" w:sz="2" w:space="0" w:color="0070C0"/>
              <w:right w:val="single" w:sz="2" w:space="0" w:color="0070C0"/>
            </w:tcBorders>
            <w:vAlign w:val="center"/>
            <w:hideMark/>
          </w:tcPr>
          <w:p w14:paraId="0DC365C3" w14:textId="77777777" w:rsidR="003A00A5" w:rsidRPr="003A00A5" w:rsidRDefault="003A00A5" w:rsidP="003A00A5">
            <w:pPr>
              <w:rPr>
                <w:b/>
              </w:rPr>
            </w:pPr>
            <w:r w:rsidRPr="003A00A5">
              <w:rPr>
                <w:b/>
                <w:lang w:val="fi-FI" w:bidi="fi-FI"/>
              </w:rPr>
              <w:t>Hyvä talous ja tehokas organisaatio</w:t>
            </w:r>
          </w:p>
        </w:tc>
        <w:tc>
          <w:tcPr>
            <w:tcW w:w="4536" w:type="dxa"/>
            <w:tcBorders>
              <w:top w:val="single" w:sz="2" w:space="0" w:color="0070C0"/>
              <w:left w:val="single" w:sz="2" w:space="0" w:color="0070C0"/>
              <w:bottom w:val="single" w:sz="2" w:space="0" w:color="0070C0"/>
              <w:right w:val="single" w:sz="2" w:space="0" w:color="0070C0"/>
            </w:tcBorders>
            <w:hideMark/>
          </w:tcPr>
          <w:p w14:paraId="1C23B42C" w14:textId="77777777" w:rsidR="003A00A5" w:rsidRPr="003A00A5" w:rsidRDefault="003A00A5" w:rsidP="005420D3">
            <w:pPr>
              <w:numPr>
                <w:ilvl w:val="0"/>
                <w:numId w:val="17"/>
              </w:numPr>
            </w:pPr>
            <w:r w:rsidRPr="003A00A5">
              <w:rPr>
                <w:lang w:val="fi-FI" w:bidi="fi-FI"/>
              </w:rPr>
              <w:t>Södertäljen kunnassa on järkevä taloudenhoito</w:t>
            </w:r>
          </w:p>
        </w:tc>
      </w:tr>
      <w:tr w:rsidR="003A00A5" w:rsidRPr="003A00A5" w14:paraId="51BFCB75" w14:textId="77777777" w:rsidTr="002720E5">
        <w:trPr>
          <w:trHeight w:val="940"/>
        </w:trPr>
        <w:tc>
          <w:tcPr>
            <w:tcW w:w="1912" w:type="dxa"/>
            <w:vMerge/>
            <w:tcBorders>
              <w:top w:val="single" w:sz="2" w:space="0" w:color="0070C0"/>
              <w:left w:val="single" w:sz="2" w:space="0" w:color="0070C0"/>
              <w:bottom w:val="single" w:sz="2" w:space="0" w:color="0070C0"/>
              <w:right w:val="single" w:sz="2" w:space="0" w:color="0070C0"/>
            </w:tcBorders>
            <w:vAlign w:val="center"/>
            <w:hideMark/>
          </w:tcPr>
          <w:p w14:paraId="0F430721" w14:textId="77777777" w:rsidR="003A00A5" w:rsidRPr="003A00A5" w:rsidRDefault="003A00A5" w:rsidP="003A00A5">
            <w:pPr>
              <w:rPr>
                <w:b/>
              </w:rPr>
            </w:pPr>
          </w:p>
        </w:tc>
        <w:tc>
          <w:tcPr>
            <w:tcW w:w="2341" w:type="dxa"/>
            <w:tcBorders>
              <w:top w:val="single" w:sz="2" w:space="0" w:color="0070C0"/>
              <w:left w:val="single" w:sz="2" w:space="0" w:color="0070C0"/>
              <w:bottom w:val="single" w:sz="2" w:space="0" w:color="0070C0"/>
              <w:right w:val="single" w:sz="2" w:space="0" w:color="0070C0"/>
            </w:tcBorders>
            <w:vAlign w:val="center"/>
            <w:hideMark/>
          </w:tcPr>
          <w:p w14:paraId="19752407" w14:textId="77777777" w:rsidR="003A00A5" w:rsidRPr="003A00A5" w:rsidRDefault="003A00A5" w:rsidP="003A00A5">
            <w:pPr>
              <w:rPr>
                <w:b/>
              </w:rPr>
            </w:pPr>
            <w:r w:rsidRPr="003A00A5">
              <w:rPr>
                <w:b/>
                <w:lang w:val="fi-FI" w:bidi="fi-FI"/>
              </w:rPr>
              <w:t>Houkutteleva työnantaja</w:t>
            </w:r>
          </w:p>
        </w:tc>
        <w:tc>
          <w:tcPr>
            <w:tcW w:w="4536" w:type="dxa"/>
            <w:tcBorders>
              <w:top w:val="single" w:sz="2" w:space="0" w:color="0070C0"/>
              <w:left w:val="single" w:sz="2" w:space="0" w:color="0070C0"/>
              <w:bottom w:val="single" w:sz="2" w:space="0" w:color="0070C0"/>
              <w:right w:val="single" w:sz="2" w:space="0" w:color="0070C0"/>
            </w:tcBorders>
            <w:hideMark/>
          </w:tcPr>
          <w:p w14:paraId="3DF3EC5F" w14:textId="77777777" w:rsidR="003A00A5" w:rsidRPr="003A00A5" w:rsidRDefault="003A00A5" w:rsidP="005420D3">
            <w:pPr>
              <w:numPr>
                <w:ilvl w:val="0"/>
                <w:numId w:val="18"/>
              </w:numPr>
            </w:pPr>
            <w:r w:rsidRPr="003A00A5">
              <w:rPr>
                <w:lang w:val="fi-FI" w:bidi="fi-FI"/>
              </w:rPr>
              <w:t>Södertäljen kunta voi, olemalla työnantaja, jolle on tunnusomaista hyvä työympäristö, tasa-arvo ja tasavertaisuus, rekrytoida ja pitää palveluksessa vaadittavaa ammattitaitoa omaavia työntekijöitä.</w:t>
            </w:r>
          </w:p>
        </w:tc>
      </w:tr>
    </w:tbl>
    <w:p w14:paraId="45ED2444" w14:textId="77777777" w:rsidR="003A00A5" w:rsidRPr="003A00A5" w:rsidRDefault="003A00A5" w:rsidP="003A00A5"/>
    <w:p w14:paraId="35951999" w14:textId="77777777" w:rsidR="00144C40" w:rsidRPr="003A00A5" w:rsidRDefault="00386B83" w:rsidP="003A00A5">
      <w:r w:rsidRPr="00386B83">
        <w:rPr>
          <w:lang w:val="fi-FI" w:bidi="fi-FI"/>
        </w:rPr>
        <w:t>Kunnanvaltuuston tavoitteiden seuranta jaetaan lautakuntatasolle. Lautakuntien on kohdealuetta ”Houkutteleva työnantaja” lukuun ottamatta pysyteltävä kunnanvaltuuston tavoitteissa toimintasuunnitelmissaan. Tämä tehdään selkeyttämällä ja konkretisoimalla tavoitteita oman erityisen yhteiskunnallisen tehtävän puitteissa kunnan hallintomallin ja lautakuntien sääntöjen pohjalta. Kunnanhallitus on ainoa toimielin, joka suorittaa seurantaa kohdealueella ”Houkutteleva työnantaja”.</w:t>
      </w:r>
    </w:p>
    <w:p w14:paraId="3403D4B4" w14:textId="77777777" w:rsidR="003A00A5" w:rsidRPr="003A00A5" w:rsidRDefault="00386B83" w:rsidP="003A00A5">
      <w:r w:rsidRPr="00386B83">
        <w:rPr>
          <w:lang w:val="fi-FI" w:bidi="fi-FI"/>
        </w:rPr>
        <w:t xml:space="preserve">Seurannassa lautakuntien odotetaan ottavan vastuuta tarvittavien tietojen hankkimisesta ja valvovan toimintaa, jotta voidaan arvioida, miten asiat etenevät suhteessa tavoitteisiin. </w:t>
      </w:r>
      <w:r w:rsidR="003A00A5" w:rsidRPr="00963022">
        <w:rPr>
          <w:b/>
          <w:lang w:val="fi-FI" w:bidi="fi-FI"/>
        </w:rPr>
        <w:br w:type="page"/>
      </w:r>
    </w:p>
    <w:p w14:paraId="1203DA3B" w14:textId="77777777" w:rsidR="003A00A5" w:rsidRPr="00144C40" w:rsidRDefault="003A00A5" w:rsidP="00144C40">
      <w:pPr>
        <w:pStyle w:val="Rubrik2Nr"/>
        <w:rPr>
          <w:color w:val="0D6FB5"/>
        </w:rPr>
      </w:pPr>
      <w:r w:rsidRPr="00144C40">
        <w:rPr>
          <w:color w:val="0D6FB5"/>
          <w:lang w:val="fi-FI" w:bidi="fi-FI"/>
        </w:rPr>
        <w:lastRenderedPageBreak/>
        <w:t>Tietokunta Södertälje</w:t>
      </w:r>
    </w:p>
    <w:p w14:paraId="38D7BEEF" w14:textId="77777777" w:rsidR="003A00A5" w:rsidRPr="00B25416" w:rsidRDefault="003A00A5" w:rsidP="002720E5">
      <w:pPr>
        <w:pStyle w:val="Rubrik3Nr"/>
        <w:numPr>
          <w:ilvl w:val="0"/>
          <w:numId w:val="0"/>
        </w:numPr>
        <w:ind w:left="720" w:hanging="720"/>
        <w:rPr>
          <w:color w:val="0D6FB5"/>
        </w:rPr>
      </w:pPr>
      <w:r w:rsidRPr="00B25416">
        <w:rPr>
          <w:color w:val="0D6FB5"/>
          <w:lang w:val="fi-FI" w:bidi="fi-FI"/>
        </w:rPr>
        <w:t>Esiopetuksen, koulun ja aikuiskoulutuksen tuloksia on parannettava</w:t>
      </w:r>
    </w:p>
    <w:p w14:paraId="47C4A4D3" w14:textId="77777777" w:rsidR="00B25416" w:rsidRDefault="00E81ECD" w:rsidP="00AA5606">
      <w:r w:rsidRPr="00E81ECD">
        <w:rPr>
          <w:lang w:val="fi-FI" w:bidi="fi-FI"/>
        </w:rPr>
        <w:t>Esiopetuksen ja koulun yleistavoite on, että kaikki lapset ja opiskelijat saavuttavat olemassa olevat tavoitteet ja tähän yleiseen tavoitteeseen perustuvat kaikki päätökset ja toimet. Koulun ja esikoulun tulee olla turvallinen ympäristö ja paikka, joka vahvistaa lasten ja oppilaiden itsetuntoa ja antaa heille uskoa tulevaisuuteen. Yleisen tavoitteen pohjalta yksiköiden laatutyön tulee olla järjestelmällistä, strategista ja tutkimuslähtöistä. On erityisen tärkeää, että kaikki esikoulut ja koulut kehittävät laatuaan kunnan neljällä painopistealueella, sillä se johtaa tutkimusten mukaan parempiin tuloksiin.</w:t>
      </w:r>
    </w:p>
    <w:p w14:paraId="5DF40FDD" w14:textId="77777777" w:rsidR="00AA5606" w:rsidRDefault="00AA5606" w:rsidP="00AA5606">
      <w:r>
        <w:rPr>
          <w:lang w:val="fi-FI" w:bidi="fi-FI"/>
        </w:rPr>
        <w:t>Painopistealueita ovat:</w:t>
      </w:r>
    </w:p>
    <w:p w14:paraId="7711699F" w14:textId="77777777" w:rsidR="00AA5606" w:rsidRDefault="00AA5606" w:rsidP="00AA5606">
      <w:r>
        <w:rPr>
          <w:lang w:val="fi-FI" w:bidi="fi-FI"/>
        </w:rPr>
        <w:t>Selkeä pedagoginen ohjaus</w:t>
      </w:r>
    </w:p>
    <w:p w14:paraId="720DFEE1" w14:textId="77777777" w:rsidR="00AA5606" w:rsidRDefault="00AA5606" w:rsidP="00AA5606">
      <w:r>
        <w:rPr>
          <w:lang w:val="fi-FI" w:bidi="fi-FI"/>
        </w:rPr>
        <w:t>Toimintojen johtajien on huolehdittava siitä, että kehitystyö perustuu tunnettuun toimintaperiaatteeseen, että työntekijöillä on korkeat odotukset täyttävä tarvittava ammattitaito ja odotuksia työssään.</w:t>
      </w:r>
    </w:p>
    <w:p w14:paraId="1DF80356" w14:textId="77777777" w:rsidR="00AA5606" w:rsidRDefault="00AA5606" w:rsidP="00AA5606">
      <w:r>
        <w:rPr>
          <w:lang w:val="fi-FI" w:bidi="fi-FI"/>
        </w:rPr>
        <w:t>Opettava organisaatiokulttuuri</w:t>
      </w:r>
    </w:p>
    <w:p w14:paraId="4EA4CEFC" w14:textId="77777777" w:rsidR="00AA5606" w:rsidRDefault="00AA5606" w:rsidP="00AA5606">
      <w:r>
        <w:rPr>
          <w:lang w:val="fi-FI" w:bidi="fi-FI"/>
        </w:rPr>
        <w:t>Sekä johtajien että työntekijöiden on huolehdittava siitä, että toiminnoillemme on ominaista kokemusten vaihto ja yhteistyö, ja että jatkuva kollegiaalinen oppiminen vaikuttaa opetukseen sekä lasten ja opiskelijoiden oppimiseen.</w:t>
      </w:r>
    </w:p>
    <w:p w14:paraId="23A58419" w14:textId="77777777" w:rsidR="00AA5606" w:rsidRDefault="00AA5606" w:rsidP="00AA5606">
      <w:r>
        <w:rPr>
          <w:lang w:val="fi-FI" w:bidi="fi-FI"/>
        </w:rPr>
        <w:t>Tavoitteiden ja tuloksellisuuden hallinta</w:t>
      </w:r>
    </w:p>
    <w:p w14:paraId="1FC971CD" w14:textId="77777777" w:rsidR="00AA5606" w:rsidRDefault="00AA5606" w:rsidP="00AA5606">
      <w:r>
        <w:rPr>
          <w:lang w:val="fi-FI" w:bidi="fi-FI"/>
        </w:rPr>
        <w:t>On kehitettävä vastuullisuuskulttuuri, jossa johtajat ja työntekijät auttavat vahvistamaan toimintojemme laatua omien rooliensa ja tehtäviensä pohjalta. Tulosten ja analyysien on johdettava siihen, että koulujen ja esikoulujen työn parantamiseksi toteutetaan jatkuvia parannustoimenpiteitä.</w:t>
      </w:r>
    </w:p>
    <w:p w14:paraId="0E1F7A3A" w14:textId="77777777" w:rsidR="00AA5606" w:rsidRDefault="00AA5606" w:rsidP="00AA5606">
      <w:r>
        <w:rPr>
          <w:lang w:val="fi-FI" w:bidi="fi-FI"/>
        </w:rPr>
        <w:t>Laadukas opetus</w:t>
      </w:r>
    </w:p>
    <w:p w14:paraId="68A0B1C0" w14:textId="77777777" w:rsidR="00AA5606" w:rsidRDefault="00AA5606" w:rsidP="00AA5606">
      <w:r>
        <w:rPr>
          <w:lang w:val="fi-FI" w:bidi="fi-FI"/>
        </w:rPr>
        <w:t>Johtajien ja työntekijöiden tulee varmistaa, että opetus perustuu tutkimukseen ja parhaisiin toimintatapoihin, ja että korkeaa tavoitteiden saavuttamista tukevista menestystekijöistä päästään yhteisymmärrykseen.</w:t>
      </w:r>
    </w:p>
    <w:p w14:paraId="77CFF2CE" w14:textId="77777777" w:rsidR="00AA5606" w:rsidRDefault="00AA5606" w:rsidP="00AA5606">
      <w:r>
        <w:rPr>
          <w:lang w:val="fi-FI" w:bidi="fi-FI"/>
        </w:rPr>
        <w:t>Södertälje Science Parkin jatkuva kehittäminen yhdessä Södertäljen KTH:n kanssa on tärkeää teollisuuden ja yhteiskunnan kehitykselle. Kunnan tulee osallistua työmarkkinoiden osaamisen tarjonnan vahvistamiseen pyrkimällä lisäämään korkeakoulujen ja ammattikorkeakoulujen koulutustarjontaa.</w:t>
      </w:r>
    </w:p>
    <w:p w14:paraId="7FA2C3CA" w14:textId="77777777" w:rsidR="003A00A5" w:rsidRDefault="00AA5606" w:rsidP="00AA5606">
      <w:r>
        <w:rPr>
          <w:lang w:val="fi-FI" w:bidi="fi-FI"/>
        </w:rPr>
        <w:t>Aikuiskoulutus, johon kuuluvat Komvux, SFI ja ammattikorkeakoulu, ottaa nykyään ja jatkossakin suurta vastuuta aikuisten ruotsin kielen taidon vahvistamisesta. Aikuiskoulutuksen on myös tarjottava tasavertaiset mahdollisuudet useammalle asukkaalle ammatillisen koulutuksen tai jatko-opintojen suorittamiseen.</w:t>
      </w:r>
    </w:p>
    <w:p w14:paraId="223E1F6F" w14:textId="77777777" w:rsidR="003A00A5" w:rsidRPr="003A00A5" w:rsidRDefault="003A00A5" w:rsidP="003A00A5">
      <w:r w:rsidRPr="003A00A5">
        <w:rPr>
          <w:lang w:val="fi-FI" w:bidi="fi-FI"/>
        </w:rPr>
        <w:t>Aiheeseen liittyvät ohjelmat ja suunnitelmat:</w:t>
      </w:r>
    </w:p>
    <w:p w14:paraId="4448B353" w14:textId="77777777" w:rsidR="003A00A5" w:rsidRPr="003A00A5" w:rsidRDefault="00AA5606" w:rsidP="00DA03A7">
      <w:pPr>
        <w:pStyle w:val="Liststycke"/>
        <w:numPr>
          <w:ilvl w:val="0"/>
          <w:numId w:val="19"/>
        </w:numPr>
      </w:pPr>
      <w:r>
        <w:rPr>
          <w:lang w:val="fi-FI" w:bidi="fi-FI"/>
        </w:rPr>
        <w:t>Järjestelmällisen laatutyön suunnitelma</w:t>
      </w:r>
      <w:r w:rsidR="003A00A5" w:rsidRPr="00DA03A7">
        <w:rPr>
          <w:b/>
          <w:lang w:val="fi-FI" w:bidi="fi-FI"/>
        </w:rPr>
        <w:br w:type="page"/>
      </w:r>
    </w:p>
    <w:p w14:paraId="3414545D" w14:textId="77777777" w:rsidR="003A00A5" w:rsidRPr="004319B8" w:rsidRDefault="003A00A5" w:rsidP="004319B8">
      <w:pPr>
        <w:pStyle w:val="Rubrik2Nr"/>
        <w:rPr>
          <w:color w:val="0D6FB5"/>
        </w:rPr>
      </w:pPr>
      <w:r w:rsidRPr="004319B8">
        <w:rPr>
          <w:color w:val="0D6FB5"/>
          <w:lang w:val="fi-FI" w:bidi="fi-FI"/>
        </w:rPr>
        <w:lastRenderedPageBreak/>
        <w:t>Södertäljen asukkaat</w:t>
      </w:r>
    </w:p>
    <w:p w14:paraId="0AF54C21" w14:textId="77777777" w:rsidR="003A00A5" w:rsidRPr="004319B8" w:rsidRDefault="003A00A5" w:rsidP="002720E5">
      <w:pPr>
        <w:pStyle w:val="Rubrik3Nr"/>
        <w:numPr>
          <w:ilvl w:val="0"/>
          <w:numId w:val="0"/>
        </w:numPr>
        <w:ind w:left="720" w:hanging="720"/>
        <w:rPr>
          <w:color w:val="0D6FB5"/>
        </w:rPr>
      </w:pPr>
      <w:r w:rsidRPr="004319B8">
        <w:rPr>
          <w:color w:val="0D6FB5"/>
          <w:lang w:val="fi-FI" w:bidi="fi-FI"/>
        </w:rPr>
        <w:t>Asukkailla on vaikutusvaltaa ja mahdollisuus osallistua</w:t>
      </w:r>
    </w:p>
    <w:p w14:paraId="7F764761" w14:textId="77777777" w:rsidR="0076605C" w:rsidRDefault="0076605C" w:rsidP="0076605C">
      <w:r>
        <w:rPr>
          <w:lang w:val="fi-FI" w:bidi="fi-FI"/>
        </w:rPr>
        <w:t>Södertäljen asukkaiden odotetaan osallistuvan kunnan toimintojen ja muun yhteiskunnan kehittämiseen. Siksi heillä on oltava hyvät mahdollisuudet osallistua yhteiskunnan toimintaan tasavertaisesti, vaikuttaa jokapäiväiseen elämäänsä sekä saada mahdollisuus avoimuuteen ja vaikuttamiseen. Oikeuden ja mahdollisuuden olla aktiivinen kansalainen ja muokata päätöksenteon edellytyksiä tulee olla tasa-arvoista. Tekemällä kestävää ja pitkäjänteistä parannustyötä nuorten vaikutusvallan vahvistamiseksi, kansalaiskuulemisten parantamiseksi ja osallistuvan työn kehittämiseksi asukkaiden mahdollisuutta vaikuttaa kunnan kehitykseen voidaan parantaa.</w:t>
      </w:r>
    </w:p>
    <w:p w14:paraId="779D59AF" w14:textId="77777777" w:rsidR="0076605C" w:rsidRPr="003A00A5" w:rsidRDefault="0076605C" w:rsidP="0076605C">
      <w:r>
        <w:rPr>
          <w:lang w:val="fi-FI" w:bidi="fi-FI"/>
        </w:rPr>
        <w:t>Asukkaiden vaikutusvallan tulee olla suurempi kuin vain äänestäminen yleisvaaleissa neljän vuoden välein, mutta kunnan on myös tehtävä syvällisempää demokratiatyötä äänestysaktiivisuuden lisäämiseksi.</w:t>
      </w:r>
    </w:p>
    <w:p w14:paraId="6A867BBE" w14:textId="77777777" w:rsidR="003A00A5" w:rsidRPr="004319B8" w:rsidRDefault="003A00A5" w:rsidP="002720E5">
      <w:pPr>
        <w:pStyle w:val="Rubrik3Nr"/>
        <w:numPr>
          <w:ilvl w:val="0"/>
          <w:numId w:val="0"/>
        </w:numPr>
        <w:ind w:left="720" w:hanging="720"/>
        <w:rPr>
          <w:color w:val="0D6FB5"/>
        </w:rPr>
      </w:pPr>
      <w:r w:rsidRPr="004319B8">
        <w:rPr>
          <w:color w:val="0D6FB5"/>
          <w:lang w:val="fi-FI" w:bidi="fi-FI"/>
        </w:rPr>
        <w:t>Asukkailla on hyvät elinolot</w:t>
      </w:r>
    </w:p>
    <w:p w14:paraId="44461AE3" w14:textId="77777777" w:rsidR="0076605C" w:rsidRDefault="0076605C" w:rsidP="0076605C">
      <w:r>
        <w:rPr>
          <w:lang w:val="fi-FI" w:bidi="fi-FI"/>
        </w:rPr>
        <w:t xml:space="preserve">Hyvät elinolot ovat tärkeitä sosiaalisen kestävyyden kannalta ja ne edellyttävät toimivaa kuntatoimintaa, toimivia työmarkkinoita sekä vahvaa kansalaisyhteiskuntaa. </w:t>
      </w:r>
    </w:p>
    <w:p w14:paraId="508261C3" w14:textId="77777777" w:rsidR="0076605C" w:rsidRDefault="0076605C" w:rsidP="0076605C">
      <w:r>
        <w:rPr>
          <w:lang w:val="fi-FI" w:bidi="fi-FI"/>
        </w:rPr>
        <w:t xml:space="preserve">Liian monet lapset kasvavat köyhyydessä. Södertälje pyrkii tarjoamaan lapsille ja nuorille Tukholman alueen parhaat mahdollisuudet kulttuurin ja urheilun harrastamiseen. Lapsilla ja nuorilla tulee olla mahdollisuus oleskella turvallisissa, terveellisissä ja inspiroivissa leikki-, urheilu- ja ulkoilmaympäristöissä. </w:t>
      </w:r>
    </w:p>
    <w:p w14:paraId="34ED53E0" w14:textId="77777777" w:rsidR="0076605C" w:rsidRPr="003A00A5" w:rsidRDefault="0076605C" w:rsidP="0076605C">
      <w:r>
        <w:rPr>
          <w:lang w:val="fi-FI" w:bidi="fi-FI"/>
        </w:rPr>
        <w:t>Hyvät elinolot tarkoittavat, että kunnan tulee kehittää kaikkien edellytyksiä iästä, sukupuolesta, transsukupuolisesta identiteetistä tai ilmaisusta, seksuaalisesta suuntautumisesta, vammaisuudesta, etnisestä taustasta, uskonnosta tai muusta vakaumuksesta riippumatta. Asukkaiden on voitava osallistua yhteiskunnan toimintaan yhtäläisin ehdoin ja heidän on tunnettava olonsa turvalliseksi siellä, missä he ovat, etenkin kotonaan. Hyvät elinolot merkitsevät myös terveyttä ja monipuolista vapaa-aikaa. Kulttuuri ja luonnonläheisyys ovat tärkeitä ihmisten hyvinvointia edistäviä tekijöitä.</w:t>
      </w:r>
    </w:p>
    <w:p w14:paraId="0FB790A5" w14:textId="77777777" w:rsidR="003A00A5" w:rsidRPr="003A00A5" w:rsidRDefault="003A00A5" w:rsidP="003A00A5"/>
    <w:p w14:paraId="1034BC5F" w14:textId="77777777" w:rsidR="003A00A5" w:rsidRPr="003A00A5" w:rsidRDefault="003A00A5" w:rsidP="003A00A5">
      <w:r w:rsidRPr="003A00A5">
        <w:rPr>
          <w:lang w:val="fi-FI" w:bidi="fi-FI"/>
        </w:rPr>
        <w:t>Aiheeseen liittyvät ohjelmat ja suunnitelmat:</w:t>
      </w:r>
      <w:r w:rsidRPr="003A00A5">
        <w:rPr>
          <w:lang w:val="fi-FI" w:bidi="fi-FI"/>
        </w:rPr>
        <w:br/>
      </w:r>
    </w:p>
    <w:p w14:paraId="522B455A" w14:textId="77777777" w:rsidR="0076605C" w:rsidRDefault="003A00A5" w:rsidP="005420D3">
      <w:pPr>
        <w:numPr>
          <w:ilvl w:val="0"/>
          <w:numId w:val="6"/>
        </w:numPr>
      </w:pPr>
      <w:r w:rsidRPr="003A00A5">
        <w:rPr>
          <w:lang w:val="fi-FI" w:bidi="fi-FI"/>
        </w:rPr>
        <w:t xml:space="preserve">Kansanterveysstrategia 2021–2024 </w:t>
      </w:r>
    </w:p>
    <w:p w14:paraId="61107A6A" w14:textId="77777777" w:rsidR="003A00A5" w:rsidRPr="003A00A5" w:rsidRDefault="003A00A5" w:rsidP="005420D3">
      <w:pPr>
        <w:numPr>
          <w:ilvl w:val="0"/>
          <w:numId w:val="6"/>
        </w:numPr>
      </w:pPr>
      <w:r w:rsidRPr="003A00A5">
        <w:rPr>
          <w:lang w:val="fi-FI" w:bidi="fi-FI"/>
        </w:rPr>
        <w:t xml:space="preserve">Kirjastosuunnitelma 2022–2025 </w:t>
      </w:r>
    </w:p>
    <w:p w14:paraId="503523DA" w14:textId="77777777" w:rsidR="003A00A5" w:rsidRPr="003A00A5" w:rsidRDefault="003A00A5" w:rsidP="005420D3">
      <w:pPr>
        <w:numPr>
          <w:ilvl w:val="0"/>
          <w:numId w:val="6"/>
        </w:numPr>
      </w:pPr>
      <w:r w:rsidRPr="003A00A5">
        <w:rPr>
          <w:lang w:val="fi-FI" w:bidi="fi-FI"/>
        </w:rPr>
        <w:t>Itsemurhien ehkäisyn toimintasuunnitelma 2019–2022</w:t>
      </w:r>
    </w:p>
    <w:p w14:paraId="21AD38E4" w14:textId="77777777" w:rsidR="003A00A5" w:rsidRPr="003A00A5" w:rsidRDefault="003A00A5" w:rsidP="005420D3">
      <w:pPr>
        <w:numPr>
          <w:ilvl w:val="0"/>
          <w:numId w:val="6"/>
        </w:numPr>
      </w:pPr>
      <w:r w:rsidRPr="003A00A5">
        <w:rPr>
          <w:lang w:val="fi-FI" w:bidi="fi-FI"/>
        </w:rPr>
        <w:t>Toimintasuunnitelma lähisuhdeväkivaltaa vastaan 2021–2023</w:t>
      </w:r>
    </w:p>
    <w:p w14:paraId="0D6C3C60" w14:textId="77777777" w:rsidR="003A00A5" w:rsidRPr="003A00A5" w:rsidRDefault="003A00A5" w:rsidP="003A00A5">
      <w:pPr>
        <w:rPr>
          <w:b/>
        </w:rPr>
      </w:pPr>
      <w:r w:rsidRPr="003A00A5">
        <w:rPr>
          <w:b/>
          <w:lang w:val="fi-FI" w:bidi="fi-FI"/>
        </w:rPr>
        <w:br w:type="page"/>
      </w:r>
    </w:p>
    <w:p w14:paraId="0C54F589" w14:textId="77777777" w:rsidR="003A00A5" w:rsidRPr="004319B8" w:rsidRDefault="003A00A5" w:rsidP="002720E5">
      <w:pPr>
        <w:pStyle w:val="Rubrik3Nr"/>
        <w:numPr>
          <w:ilvl w:val="0"/>
          <w:numId w:val="0"/>
        </w:numPr>
        <w:ind w:left="720" w:hanging="720"/>
        <w:rPr>
          <w:color w:val="0D6FB5"/>
        </w:rPr>
      </w:pPr>
      <w:r w:rsidRPr="004319B8">
        <w:rPr>
          <w:color w:val="0D6FB5"/>
          <w:lang w:val="fi-FI" w:bidi="fi-FI"/>
        </w:rPr>
        <w:lastRenderedPageBreak/>
        <w:t>Asukkaat saavat hyvää palvelua ja hyvän saatavuuden</w:t>
      </w:r>
    </w:p>
    <w:p w14:paraId="325C4743" w14:textId="77777777" w:rsidR="00976E95" w:rsidRDefault="00976E95" w:rsidP="00976E95">
      <w:r>
        <w:rPr>
          <w:lang w:val="fi-FI" w:bidi="fi-FI"/>
        </w:rPr>
        <w:t>Södertäljen kunnan toiminnoille tulee olla tunnusomaista hyvä palvelu ja hyvä saatavuus. Toimintojen on pyrittävä tuottamaan jatkuvasti hyvää laatua. Erityisen tärkeää on kunnan hyvinvointitoiminnan laatu, jolle tulee olla tunnusomaista turvallisuus, ihmisarvo ja kunnioitus. Kun asukas tarvitsee hoitoa, yhteiskunnan tulee olla tukena.</w:t>
      </w:r>
    </w:p>
    <w:p w14:paraId="19269B8D" w14:textId="77777777" w:rsidR="00976E95" w:rsidRPr="003A00A5" w:rsidRDefault="00976E95" w:rsidP="00976E95">
      <w:r>
        <w:rPr>
          <w:lang w:val="fi-FI" w:bidi="fi-FI"/>
        </w:rPr>
        <w:t>Asukkaiden tulee saada hyvää kohtelua ollessaan yhteydessä kuntaan ja saada helposti tietoa kunnan tehtävistä, palveluista ja sitoumuksista. Kysymyksiin ja kommentteihin on vastattava viipymättä. Asukkailla tulee olla mahdollisuus saada tietoa ja heidän tulee voida asioida mahdollisimman nopeasti esimerkiksi sähköisten palveluiden ja digitaalisten työkalujen kautta.</w:t>
      </w:r>
    </w:p>
    <w:p w14:paraId="792A2B43" w14:textId="77777777" w:rsidR="004319B8" w:rsidRPr="004319B8" w:rsidRDefault="003A00A5" w:rsidP="003A00A5">
      <w:pPr>
        <w:pStyle w:val="Rubrik2Nr"/>
        <w:rPr>
          <w:color w:val="0D6FB5"/>
        </w:rPr>
      </w:pPr>
      <w:r w:rsidRPr="004319B8">
        <w:rPr>
          <w:color w:val="0D6FB5"/>
          <w:lang w:val="fi-FI" w:bidi="fi-FI"/>
        </w:rPr>
        <w:t>Houkutteleva Södertälje</w:t>
      </w:r>
    </w:p>
    <w:p w14:paraId="61CAAEA3" w14:textId="77777777" w:rsidR="00976E95" w:rsidRPr="007F0891" w:rsidRDefault="00976E95" w:rsidP="00976E95">
      <w:pPr>
        <w:pStyle w:val="Rubrik4"/>
      </w:pPr>
      <w:bookmarkStart w:id="1" w:name="_Hlk21518469"/>
      <w:r w:rsidRPr="007F0891">
        <w:rPr>
          <w:lang w:val="fi-FI" w:bidi="fi-FI"/>
        </w:rPr>
        <w:t>Södertälje on houkutteleva kunta asua, harjoittaa liiketoimintaa ja paikka, joka houkuttelee opiskelijoita ja vierailijoita</w:t>
      </w:r>
    </w:p>
    <w:p w14:paraId="379A8273" w14:textId="77777777" w:rsidR="00976E95" w:rsidRPr="003A00A5" w:rsidRDefault="00976E95" w:rsidP="00976E95">
      <w:r w:rsidRPr="003A00A5">
        <w:rPr>
          <w:lang w:val="fi-FI" w:bidi="fi-FI"/>
        </w:rPr>
        <w:t>Södertäljen kunnan tulee olla houkutteleva paikka elää ja asua, ja se tulee kokea sellaisena. Sen tulee olla paikka, jossa ihmiset viihtyvät. Yritysten on saatava hyvää kohtelua ja niillä tulee olla hyvät mahdollisuudet vakiintua ja kasvaa täällä. Naisilla ja miehillä tulisi olla yhtäläiset mahdollisuudet perustaa ja johtaa yrityksiä, jotka voivat kasvaa. Södertäljen asukkaiden on voitava kehittyä ja vierailijoiden on löydettävä Södertäljestä monia houkuttelevia vierailukohteita ja tapahtumia. Meidän on mahdollistettava korkea elämänlaatu tarjoamalla hyvät edellytykset runsaalle kulttuuri-, vapaa-ajan- ja urheiluelämälle, hyvät asunnot, toimiva infrastruktuuri sekä monia mielenkiintoisia työmahdollisuuksia. Vahva elinkeinoelämä luo lisää työpaikkoja, kasvua, hyvää palvelua ja lisää houkuttelevuutta.</w:t>
      </w:r>
    </w:p>
    <w:p w14:paraId="3D8B4A72" w14:textId="77777777" w:rsidR="00976E95" w:rsidRPr="003A00A5" w:rsidRDefault="00976E95" w:rsidP="00976E95">
      <w:r w:rsidRPr="003A00A5">
        <w:rPr>
          <w:lang w:val="fi-FI" w:bidi="fi-FI"/>
        </w:rPr>
        <w:t>Södertäljen kunta tulee tuntea vieraanvaraisena paikkana, joka tarjoaa aidon kaupungin keskustan sekä eloisan maaseudun. Se tulee myös tuntea paikkana, jossa maailmat kohtaavat. Maailman johtava lääkevalmistus, kuorma-autot ja linja-autot sekä kestävällä tavalla tuotetut elintarvikkeet ovat kuntaa luonnehtivia ja sen houkuttelevuutta lisääviä liiketoiminta-alueita.</w:t>
      </w:r>
    </w:p>
    <w:p w14:paraId="23B3DAFF" w14:textId="77777777" w:rsidR="00976E95" w:rsidRPr="003A00A5" w:rsidRDefault="00976E95" w:rsidP="003A00A5"/>
    <w:p w14:paraId="45E52B79" w14:textId="77777777" w:rsidR="003A00A5" w:rsidRPr="003A00A5" w:rsidRDefault="003A00A5" w:rsidP="003A00A5">
      <w:r w:rsidRPr="003A00A5">
        <w:rPr>
          <w:lang w:val="fi-FI" w:bidi="fi-FI"/>
        </w:rPr>
        <w:t>Aiheeseen liittyvät ohjelmat ja suunnitelmat:</w:t>
      </w:r>
    </w:p>
    <w:p w14:paraId="03C19BB3" w14:textId="77777777" w:rsidR="003A00A5" w:rsidRPr="003A00A5" w:rsidRDefault="003A00A5" w:rsidP="005420D3">
      <w:pPr>
        <w:numPr>
          <w:ilvl w:val="0"/>
          <w:numId w:val="9"/>
        </w:numPr>
      </w:pPr>
      <w:r w:rsidRPr="003A00A5">
        <w:rPr>
          <w:lang w:val="fi-FI" w:bidi="fi-FI"/>
        </w:rPr>
        <w:t xml:space="preserve">Elinkeinoelämästrategia 2021–2026 </w:t>
      </w:r>
    </w:p>
    <w:p w14:paraId="357ED43B" w14:textId="77777777" w:rsidR="003A00A5" w:rsidRPr="003A00A5" w:rsidRDefault="003A00A5" w:rsidP="005420D3">
      <w:pPr>
        <w:numPr>
          <w:ilvl w:val="0"/>
          <w:numId w:val="8"/>
        </w:numPr>
      </w:pPr>
      <w:r w:rsidRPr="003A00A5">
        <w:rPr>
          <w:lang w:val="fi-FI" w:bidi="fi-FI"/>
        </w:rPr>
        <w:t>Turistiohjelma 2016–2022</w:t>
      </w:r>
    </w:p>
    <w:p w14:paraId="5DA0A9BB" w14:textId="77777777" w:rsidR="003A00A5" w:rsidRPr="003A00A5" w:rsidRDefault="003A00A5" w:rsidP="005420D3">
      <w:pPr>
        <w:numPr>
          <w:ilvl w:val="0"/>
          <w:numId w:val="8"/>
        </w:numPr>
      </w:pPr>
      <w:r w:rsidRPr="003A00A5">
        <w:rPr>
          <w:lang w:val="fi-FI" w:bidi="fi-FI"/>
        </w:rPr>
        <w:t>Yleissuunnitelma 2013–2030</w:t>
      </w:r>
    </w:p>
    <w:p w14:paraId="779C6404" w14:textId="77777777" w:rsidR="003A00A5" w:rsidRPr="003A00A5" w:rsidRDefault="003A00A5" w:rsidP="005420D3">
      <w:pPr>
        <w:numPr>
          <w:ilvl w:val="0"/>
          <w:numId w:val="8"/>
        </w:numPr>
      </w:pPr>
      <w:r w:rsidRPr="003A00A5">
        <w:rPr>
          <w:lang w:val="fi-FI" w:bidi="fi-FI"/>
        </w:rPr>
        <w:t>Laajentamisstrategia 2019–2036</w:t>
      </w:r>
      <w:bookmarkEnd w:id="1"/>
      <w:r w:rsidRPr="003A00A5">
        <w:rPr>
          <w:b/>
          <w:lang w:val="fi-FI" w:bidi="fi-FI"/>
        </w:rPr>
        <w:br w:type="page"/>
      </w:r>
    </w:p>
    <w:p w14:paraId="45B5DBAC" w14:textId="77777777" w:rsidR="003A00A5" w:rsidRPr="002720E5" w:rsidRDefault="003A00A5" w:rsidP="002720E5">
      <w:pPr>
        <w:pStyle w:val="Rubrik2Nr"/>
        <w:rPr>
          <w:color w:val="0D6FB5"/>
        </w:rPr>
      </w:pPr>
      <w:r w:rsidRPr="002720E5">
        <w:rPr>
          <w:color w:val="0D6FB5"/>
          <w:lang w:val="fi-FI" w:bidi="fi-FI"/>
        </w:rPr>
        <w:lastRenderedPageBreak/>
        <w:t>Ekologisesti kestävä Södertäljen kunta</w:t>
      </w:r>
    </w:p>
    <w:p w14:paraId="6CB936D0" w14:textId="77777777" w:rsidR="003A00A5" w:rsidRDefault="003A00A5" w:rsidP="004319B8">
      <w:pPr>
        <w:pStyle w:val="Rubrik4"/>
      </w:pPr>
      <w:r w:rsidRPr="003A00A5">
        <w:rPr>
          <w:lang w:val="fi-FI" w:bidi="fi-FI"/>
        </w:rPr>
        <w:t>Södertäljen kunta vähentää päästöjään ja ympäristövaikutuksiaan sekä luo asukkaille ja yrityksille edellytykset elää kestävän kehityksen periaatteiden mukaisesti</w:t>
      </w:r>
    </w:p>
    <w:p w14:paraId="1878C7E5" w14:textId="77777777" w:rsidR="009D0B3E" w:rsidRDefault="009D0B3E" w:rsidP="009D0B3E">
      <w:r>
        <w:rPr>
          <w:lang w:val="fi-FI" w:bidi="fi-FI"/>
        </w:rPr>
        <w:br/>
        <w:t>Kunnan omien toimintojen tulee pyrkiä olemaan ilmasto- ja ympäristötyön eturintamassa. Kunnan tulee aktiivisesti hyödyntää mahdollisuuksia rajoittaa ympäristövaikutuksia ja luoda ratkaisuja ja infrastruktuureja, jotka auttavat asukkaita, toimintoja ja yrityksiä tekemään kestäviä valintoja. Energian vastuullisempi käyttö, tietoinen kulutus ja korkeat ympäristövaatimukset hankinnoissa ovat tärkeitä osia kestävää yhteiskuntaa.</w:t>
      </w:r>
    </w:p>
    <w:p w14:paraId="6C995941" w14:textId="77777777" w:rsidR="009D0B3E" w:rsidRDefault="009D0B3E" w:rsidP="009D0B3E">
      <w:r>
        <w:rPr>
          <w:lang w:val="fi-FI" w:bidi="fi-FI"/>
        </w:rPr>
        <w:t>Ilmastonmuutokseen sopeutuminen ja ekosysteemipalvelujen arvo tulee ottaa huomioon yhdyskuntasuunnittelussa pitkän aikavälin kestävien ratkaisujen varmistamiseksi. Hyvin kehittynyt vihreä infrastruktuuri koko kunnassa vahvistaa ekosysteemipalveluja kuten puhtaampaa ilmaa, pienentynyttä tulvariskiä ja melua. Biologisen monimuotoisuuden edistämiseksi on säilytettävä ja kehitettävä luonnonarvoja, kun taas kaupunkialueiden lähellä olevaa luontoa ja viheralueita hyödynnetään virkistystoimintaan ja ulkoiluun. Kunnan ateriatoiminnan ja viljelystrategian kautta vahvistetaan kestävän kehityksen periaatteiden mukaisesti elämisen edellytyksiä kunnassa.</w:t>
      </w:r>
    </w:p>
    <w:p w14:paraId="5202143D" w14:textId="77777777" w:rsidR="009D0B3E" w:rsidRDefault="009D0B3E" w:rsidP="009D0B3E">
      <w:r>
        <w:rPr>
          <w:lang w:val="fi-FI" w:bidi="fi-FI"/>
        </w:rPr>
        <w:t>Vedellä on keskeinen rooli Södertäljessä sen rannikon ja monien vesistöjen vuoksi. Veden laadun, ravinnon kiertokulun ja myrkyttömän ympäristön kehittämistyön on jatkuttava laadukkaan juomaveden sekä uinti- ja kalastusmahdollisuuksia tarjoavien terveiden järvien ja merien varmistamiseksi.</w:t>
      </w:r>
    </w:p>
    <w:p w14:paraId="34CF4B4B" w14:textId="77777777" w:rsidR="009D0B3E" w:rsidRDefault="009D0B3E" w:rsidP="009D0B3E">
      <w:r>
        <w:rPr>
          <w:lang w:val="fi-FI" w:bidi="fi-FI"/>
        </w:rPr>
        <w:t>Hyvän terveyden edistämiseksi ja ilmastovaikutusten vähentämiseksi kaupungin ilmanlaatua on parannettava.</w:t>
      </w:r>
    </w:p>
    <w:p w14:paraId="0F883BA4" w14:textId="77777777" w:rsidR="00A62EA1" w:rsidRPr="00963022" w:rsidRDefault="00A62EA1" w:rsidP="009D0B3E"/>
    <w:p w14:paraId="7864A950" w14:textId="77777777" w:rsidR="003A00A5" w:rsidRPr="003A00A5" w:rsidRDefault="003A00A5" w:rsidP="009D0B3E">
      <w:r w:rsidRPr="003A00A5">
        <w:rPr>
          <w:lang w:val="fi-FI" w:bidi="fi-FI"/>
        </w:rPr>
        <w:t>Aiheeseen liittyvät ohjelmat ja suunnitelmat:</w:t>
      </w:r>
    </w:p>
    <w:p w14:paraId="48C05EBE" w14:textId="77777777" w:rsidR="003A00A5" w:rsidRPr="003A00A5" w:rsidRDefault="003A00A5" w:rsidP="005420D3">
      <w:pPr>
        <w:numPr>
          <w:ilvl w:val="0"/>
          <w:numId w:val="10"/>
        </w:numPr>
      </w:pPr>
      <w:r w:rsidRPr="003A00A5">
        <w:rPr>
          <w:lang w:val="fi-FI" w:bidi="fi-FI"/>
        </w:rPr>
        <w:t>Ympäristö- ja ilmasto-ohjelma 2018–2021 (tarkistus käynnissä)</w:t>
      </w:r>
    </w:p>
    <w:p w14:paraId="16FF8275" w14:textId="77777777" w:rsidR="003A00A5" w:rsidRPr="003A00A5" w:rsidRDefault="003A00A5" w:rsidP="005420D3">
      <w:pPr>
        <w:numPr>
          <w:ilvl w:val="0"/>
          <w:numId w:val="10"/>
        </w:numPr>
      </w:pPr>
      <w:r w:rsidRPr="003A00A5">
        <w:rPr>
          <w:lang w:val="fi-FI" w:bidi="fi-FI"/>
        </w:rPr>
        <w:t>Kemikaalisuunnitelma 2019–2021</w:t>
      </w:r>
    </w:p>
    <w:p w14:paraId="633C7767" w14:textId="77777777" w:rsidR="003A00A5" w:rsidRPr="003A00A5" w:rsidRDefault="003A00A5" w:rsidP="005420D3">
      <w:pPr>
        <w:numPr>
          <w:ilvl w:val="0"/>
          <w:numId w:val="10"/>
        </w:numPr>
      </w:pPr>
      <w:r w:rsidRPr="003A00A5">
        <w:rPr>
          <w:lang w:val="fi-FI" w:bidi="fi-FI"/>
        </w:rPr>
        <w:t>Vesi- ja viemäröintisuunnitelma 2017–2030</w:t>
      </w:r>
    </w:p>
    <w:p w14:paraId="21BD8D67" w14:textId="77777777" w:rsidR="003A00A5" w:rsidRPr="003A00A5" w:rsidRDefault="003A00A5" w:rsidP="005420D3">
      <w:pPr>
        <w:numPr>
          <w:ilvl w:val="0"/>
          <w:numId w:val="10"/>
        </w:numPr>
      </w:pPr>
      <w:r w:rsidRPr="003A00A5">
        <w:rPr>
          <w:lang w:val="fi-FI" w:bidi="fi-FI"/>
        </w:rPr>
        <w:t>Jätesuunnitelma 2030</w:t>
      </w:r>
    </w:p>
    <w:p w14:paraId="7FE659DE" w14:textId="77777777" w:rsidR="003A00A5" w:rsidRPr="003A00A5" w:rsidRDefault="003A00A5" w:rsidP="005420D3">
      <w:pPr>
        <w:numPr>
          <w:ilvl w:val="0"/>
          <w:numId w:val="10"/>
        </w:numPr>
      </w:pPr>
      <w:r w:rsidRPr="003A00A5">
        <w:rPr>
          <w:lang w:val="fi-FI" w:bidi="fi-FI"/>
        </w:rPr>
        <w:t>Vesisuunnitelma 2018-toistaiseksi</w:t>
      </w:r>
    </w:p>
    <w:p w14:paraId="4312955B" w14:textId="77777777" w:rsidR="003A00A5" w:rsidRPr="003A00A5" w:rsidRDefault="003A00A5" w:rsidP="005420D3">
      <w:pPr>
        <w:numPr>
          <w:ilvl w:val="0"/>
          <w:numId w:val="10"/>
        </w:numPr>
      </w:pPr>
      <w:r w:rsidRPr="003A00A5">
        <w:rPr>
          <w:lang w:val="fi-FI" w:bidi="fi-FI"/>
        </w:rPr>
        <w:t>Viljelystrategia 2018–2030</w:t>
      </w:r>
    </w:p>
    <w:p w14:paraId="3AF899B4" w14:textId="77777777" w:rsidR="003A00A5" w:rsidRPr="003A00A5" w:rsidRDefault="003A00A5" w:rsidP="005420D3">
      <w:pPr>
        <w:numPr>
          <w:ilvl w:val="0"/>
          <w:numId w:val="10"/>
        </w:numPr>
      </w:pPr>
      <w:r w:rsidRPr="003A00A5">
        <w:rPr>
          <w:lang w:val="fi-FI" w:bidi="fi-FI"/>
        </w:rPr>
        <w:t>Elintarviketurvasuunnitelma (kehitteillä)</w:t>
      </w:r>
    </w:p>
    <w:p w14:paraId="6E2D5977" w14:textId="77777777" w:rsidR="003A00A5" w:rsidRPr="003A00A5" w:rsidRDefault="003A00A5" w:rsidP="005420D3">
      <w:pPr>
        <w:numPr>
          <w:ilvl w:val="0"/>
          <w:numId w:val="10"/>
        </w:numPr>
      </w:pPr>
      <w:r w:rsidRPr="003A00A5">
        <w:rPr>
          <w:lang w:val="fi-FI" w:bidi="fi-FI"/>
        </w:rPr>
        <w:t>Pölytyssuunnitelma 2020–2022 (kunnanhallituksen päättämä)</w:t>
      </w:r>
    </w:p>
    <w:p w14:paraId="5CCE2A95" w14:textId="77777777" w:rsidR="003A00A5" w:rsidRPr="003A00A5" w:rsidRDefault="003A00A5" w:rsidP="005420D3">
      <w:pPr>
        <w:numPr>
          <w:ilvl w:val="0"/>
          <w:numId w:val="10"/>
        </w:numPr>
      </w:pPr>
      <w:r w:rsidRPr="003A00A5">
        <w:rPr>
          <w:lang w:val="fi-FI" w:bidi="fi-FI"/>
        </w:rPr>
        <w:t>Metsäpolitiikka 2018-toistaiseksi</w:t>
      </w:r>
    </w:p>
    <w:p w14:paraId="6C4475CF" w14:textId="77777777" w:rsidR="003A00A5" w:rsidRPr="003A00A5" w:rsidRDefault="003A00A5" w:rsidP="005420D3">
      <w:pPr>
        <w:numPr>
          <w:ilvl w:val="0"/>
          <w:numId w:val="10"/>
        </w:numPr>
      </w:pPr>
      <w:r w:rsidRPr="00DB2528">
        <w:rPr>
          <w:lang w:val="fi-FI" w:bidi="fi-FI"/>
        </w:rPr>
        <w:t xml:space="preserve">Viherstrategia (kehitteillä) </w:t>
      </w:r>
      <w:r w:rsidRPr="003A00A5">
        <w:rPr>
          <w:b/>
          <w:lang w:val="fi-FI" w:bidi="fi-FI"/>
        </w:rPr>
        <w:br w:type="page"/>
      </w:r>
    </w:p>
    <w:p w14:paraId="196884AE" w14:textId="77777777" w:rsidR="003A00A5" w:rsidRPr="00746444" w:rsidRDefault="003A00A5" w:rsidP="00746444">
      <w:pPr>
        <w:pStyle w:val="Rubrik2Nr"/>
        <w:rPr>
          <w:color w:val="0D6FB5"/>
        </w:rPr>
      </w:pPr>
      <w:r w:rsidRPr="00746444">
        <w:rPr>
          <w:color w:val="0D6FB5"/>
          <w:lang w:val="fi-FI" w:bidi="fi-FI"/>
        </w:rPr>
        <w:lastRenderedPageBreak/>
        <w:t>Hyvä talous ja tehokas organisaatio</w:t>
      </w:r>
    </w:p>
    <w:p w14:paraId="59B6D210" w14:textId="77777777" w:rsidR="003A00A5" w:rsidRPr="003A00A5" w:rsidRDefault="003A00A5" w:rsidP="004319B8">
      <w:pPr>
        <w:pStyle w:val="Rubrik4"/>
      </w:pPr>
      <w:r w:rsidRPr="003A00A5">
        <w:rPr>
          <w:lang w:val="fi-FI" w:bidi="fi-FI"/>
        </w:rPr>
        <w:t>Södertäljen kunnassa on järkevä taloudenhoito</w:t>
      </w:r>
    </w:p>
    <w:p w14:paraId="55A59B42" w14:textId="77777777" w:rsidR="00A62EA1" w:rsidRDefault="00A62EA1" w:rsidP="00A62EA1">
      <w:r>
        <w:rPr>
          <w:lang w:val="fi-FI" w:bidi="fi-FI"/>
        </w:rPr>
        <w:t>Järkevän taloudenhoidon ja pitkän tähtäimen taloudellisen kestävyyden tulee vallita koko kuntakonsernissa ja toimintoja on harjoitettava tehokkaasti ja tuloksellisesti. Kaikkien kuntakonsernin osien lähestymistavan taloudellisissa sitoumuksissa tulee olla tulevaisuuteen suuntautuva ja niiden tulee pyrkiä olemaan siirtämättä kustannuksia ja vaikeita painopistealueita tuleville sukupolville.</w:t>
      </w:r>
    </w:p>
    <w:p w14:paraId="4D421EF3" w14:textId="77777777" w:rsidR="00A62EA1" w:rsidRDefault="00A62EA1" w:rsidP="00A62EA1">
      <w:r>
        <w:rPr>
          <w:lang w:val="fi-FI" w:bidi="fi-FI"/>
        </w:rPr>
        <w:t>Järjestys taloudessa on edellytys laadun parantamiseen toiminnoissa. Tämä koskee sekä kunnallisia alihankkijoita, kunnallisia yhtiöitä että toimintoja, joita harjoitetaan kunnan toimeksiannosta yksityisten alihankkijoiden toimesta.</w:t>
      </w:r>
    </w:p>
    <w:p w14:paraId="7CAA204C" w14:textId="77777777" w:rsidR="003A00A5" w:rsidRPr="003A00A5" w:rsidRDefault="00A62EA1" w:rsidP="00A62EA1">
      <w:r>
        <w:rPr>
          <w:lang w:val="fi-FI" w:bidi="fi-FI"/>
        </w:rPr>
        <w:t>Varsinkin taloushallinnon osalta kunnanvaltuusto seuraa seuraavia talouden vakauden mittoja. Odotettu suuntaus on arvio. Muuttumaton suuntaus voi koostua lievästä noususta tai laskusta.</w:t>
      </w:r>
    </w:p>
    <w:tbl>
      <w:tblPr>
        <w:tblW w:w="9386" w:type="dxa"/>
        <w:tblInd w:w="-10" w:type="dxa"/>
        <w:tblBorders>
          <w:top w:val="single" w:sz="8" w:space="0" w:color="0070C0"/>
          <w:left w:val="single" w:sz="8" w:space="0" w:color="0070C0"/>
          <w:bottom w:val="single" w:sz="8" w:space="0" w:color="0070C0"/>
          <w:right w:val="single" w:sz="8" w:space="0" w:color="0070C0"/>
          <w:insideH w:val="single" w:sz="8" w:space="0" w:color="0070C0"/>
        </w:tblBorders>
        <w:tblLayout w:type="fixed"/>
        <w:tblLook w:val="01E0" w:firstRow="1" w:lastRow="1" w:firstColumn="1" w:lastColumn="1" w:noHBand="0" w:noVBand="0"/>
      </w:tblPr>
      <w:tblGrid>
        <w:gridCol w:w="4518"/>
        <w:gridCol w:w="1217"/>
        <w:gridCol w:w="1217"/>
        <w:gridCol w:w="1217"/>
        <w:gridCol w:w="1217"/>
      </w:tblGrid>
      <w:tr w:rsidR="00A62EA1" w:rsidRPr="003A00A5" w14:paraId="4BCEDC17" w14:textId="77777777" w:rsidTr="00A62EA1">
        <w:trPr>
          <w:trHeight w:val="306"/>
        </w:trPr>
        <w:tc>
          <w:tcPr>
            <w:tcW w:w="4518" w:type="dxa"/>
            <w:shd w:val="clear" w:color="auto" w:fill="0070C0"/>
          </w:tcPr>
          <w:p w14:paraId="25A60384" w14:textId="77777777" w:rsidR="00A62EA1" w:rsidRPr="004319B8" w:rsidRDefault="00A62EA1" w:rsidP="00746444">
            <w:pPr>
              <w:rPr>
                <w:b/>
                <w:color w:val="FFFFFF"/>
              </w:rPr>
            </w:pPr>
            <w:r w:rsidRPr="004319B8">
              <w:rPr>
                <w:b/>
                <w:color w:val="FFFFFF"/>
                <w:lang w:val="fi-FI" w:bidi="fi-FI"/>
              </w:rPr>
              <w:t>Kunnanvaltuuston indikaattorit</w:t>
            </w:r>
          </w:p>
        </w:tc>
        <w:tc>
          <w:tcPr>
            <w:tcW w:w="1217" w:type="dxa"/>
            <w:shd w:val="clear" w:color="auto" w:fill="0070C0"/>
          </w:tcPr>
          <w:p w14:paraId="6CE194D3" w14:textId="77777777" w:rsidR="00A62EA1" w:rsidRPr="00A62EA1" w:rsidRDefault="00A62EA1" w:rsidP="00746444">
            <w:pPr>
              <w:rPr>
                <w:b/>
                <w:color w:val="FFFFFF"/>
              </w:rPr>
            </w:pPr>
            <w:r w:rsidRPr="00A62EA1">
              <w:rPr>
                <w:b/>
                <w:color w:val="FFFFFF"/>
                <w:lang w:val="fi-FI" w:bidi="fi-FI"/>
              </w:rPr>
              <w:t>Viimeisin arvo*</w:t>
            </w:r>
          </w:p>
        </w:tc>
        <w:tc>
          <w:tcPr>
            <w:tcW w:w="1217" w:type="dxa"/>
            <w:shd w:val="clear" w:color="auto" w:fill="0070C0"/>
          </w:tcPr>
          <w:p w14:paraId="2517537F" w14:textId="77777777" w:rsidR="00A62EA1" w:rsidRPr="004319B8" w:rsidRDefault="00A62EA1" w:rsidP="008218A6">
            <w:pPr>
              <w:rPr>
                <w:b/>
                <w:color w:val="FFFFFF"/>
              </w:rPr>
            </w:pPr>
            <w:r w:rsidRPr="004319B8">
              <w:rPr>
                <w:b/>
                <w:color w:val="FFFFFF"/>
                <w:lang w:val="fi-FI" w:bidi="fi-FI"/>
              </w:rPr>
              <w:t>Odotettu suuntaus 2022</w:t>
            </w:r>
          </w:p>
        </w:tc>
        <w:tc>
          <w:tcPr>
            <w:tcW w:w="1217" w:type="dxa"/>
            <w:shd w:val="clear" w:color="auto" w:fill="0070C0"/>
          </w:tcPr>
          <w:p w14:paraId="0AEAF7E5" w14:textId="77777777" w:rsidR="00A62EA1" w:rsidRPr="004319B8" w:rsidRDefault="00A62EA1" w:rsidP="008218A6">
            <w:pPr>
              <w:rPr>
                <w:b/>
                <w:color w:val="FFFFFF"/>
              </w:rPr>
            </w:pPr>
            <w:r w:rsidRPr="004319B8">
              <w:rPr>
                <w:b/>
                <w:color w:val="FFFFFF"/>
                <w:lang w:val="fi-FI" w:bidi="fi-FI"/>
              </w:rPr>
              <w:t>Odotettu suuntaus 2023</w:t>
            </w:r>
          </w:p>
        </w:tc>
        <w:tc>
          <w:tcPr>
            <w:tcW w:w="1217" w:type="dxa"/>
            <w:shd w:val="clear" w:color="auto" w:fill="0070C0"/>
          </w:tcPr>
          <w:p w14:paraId="7334CDFA" w14:textId="77777777" w:rsidR="00A62EA1" w:rsidRPr="004319B8" w:rsidRDefault="00A62EA1" w:rsidP="008218A6">
            <w:pPr>
              <w:rPr>
                <w:b/>
                <w:color w:val="FFFFFF"/>
              </w:rPr>
            </w:pPr>
            <w:r w:rsidRPr="00A62EA1">
              <w:rPr>
                <w:b/>
                <w:color w:val="FFFFFF"/>
                <w:lang w:val="fi-FI" w:bidi="fi-FI"/>
              </w:rPr>
              <w:t>Odotettu suuntaus 2024</w:t>
            </w:r>
          </w:p>
        </w:tc>
      </w:tr>
      <w:tr w:rsidR="00A62EA1" w:rsidRPr="003A00A5" w14:paraId="1601F2BB" w14:textId="77777777" w:rsidTr="00A62EA1">
        <w:trPr>
          <w:trHeight w:val="214"/>
        </w:trPr>
        <w:tc>
          <w:tcPr>
            <w:tcW w:w="4518" w:type="dxa"/>
          </w:tcPr>
          <w:p w14:paraId="59DE4A53" w14:textId="77777777" w:rsidR="00A62EA1" w:rsidRPr="003A00A5" w:rsidRDefault="00A62EA1" w:rsidP="008218A6">
            <w:pPr>
              <w:ind w:left="340"/>
            </w:pPr>
            <w:r w:rsidRPr="003A00A5">
              <w:rPr>
                <w:lang w:val="fi-FI" w:bidi="fi-FI"/>
              </w:rPr>
              <w:t>Kuntakonsernin vakavaraisuus sis. eläkesitoumukset, %</w:t>
            </w:r>
          </w:p>
        </w:tc>
        <w:tc>
          <w:tcPr>
            <w:tcW w:w="1217" w:type="dxa"/>
          </w:tcPr>
          <w:p w14:paraId="3FD6488A" w14:textId="77777777" w:rsidR="00A62EA1" w:rsidRPr="00FD30E9" w:rsidRDefault="00FD30E9" w:rsidP="008218A6">
            <w:pPr>
              <w:ind w:left="340"/>
            </w:pPr>
            <w:r w:rsidRPr="00FD30E9">
              <w:rPr>
                <w:lang w:val="fi-FI" w:bidi="fi-FI"/>
              </w:rPr>
              <w:t>37,8</w:t>
            </w:r>
          </w:p>
        </w:tc>
        <w:tc>
          <w:tcPr>
            <w:tcW w:w="1217" w:type="dxa"/>
          </w:tcPr>
          <w:p w14:paraId="1AA9AFAD" w14:textId="77777777" w:rsidR="00A62EA1" w:rsidRPr="003A00A5" w:rsidRDefault="0088509F" w:rsidP="008218A6">
            <w:pPr>
              <w:ind w:left="340"/>
              <w:rPr>
                <w:i/>
              </w:rPr>
            </w:pPr>
            <w:r>
              <w:rPr>
                <w:i/>
                <w:lang w:val="fi-FI" w:bidi="fi-FI"/>
              </w:rPr>
              <w:t>Vähenee</w:t>
            </w:r>
          </w:p>
        </w:tc>
        <w:tc>
          <w:tcPr>
            <w:tcW w:w="1217" w:type="dxa"/>
          </w:tcPr>
          <w:p w14:paraId="7AC535A5" w14:textId="77777777" w:rsidR="00A62EA1" w:rsidRPr="003A00A5" w:rsidRDefault="0088509F" w:rsidP="008218A6">
            <w:pPr>
              <w:ind w:left="340"/>
              <w:rPr>
                <w:i/>
              </w:rPr>
            </w:pPr>
            <w:r>
              <w:rPr>
                <w:i/>
                <w:lang w:val="fi-FI" w:bidi="fi-FI"/>
              </w:rPr>
              <w:t>Lisääntyy</w:t>
            </w:r>
          </w:p>
        </w:tc>
        <w:tc>
          <w:tcPr>
            <w:tcW w:w="1217" w:type="dxa"/>
          </w:tcPr>
          <w:p w14:paraId="7AA7E4D0" w14:textId="77777777" w:rsidR="00A62EA1" w:rsidRPr="00A62EA1" w:rsidRDefault="0088509F" w:rsidP="008218A6">
            <w:pPr>
              <w:ind w:left="340"/>
              <w:rPr>
                <w:i/>
                <w:highlight w:val="yellow"/>
              </w:rPr>
            </w:pPr>
            <w:r w:rsidRPr="0088509F">
              <w:rPr>
                <w:i/>
                <w:lang w:val="fi-FI" w:bidi="fi-FI"/>
              </w:rPr>
              <w:t>Lisääntyy</w:t>
            </w:r>
          </w:p>
        </w:tc>
      </w:tr>
      <w:tr w:rsidR="00A62EA1" w:rsidRPr="003A00A5" w14:paraId="22F4016C" w14:textId="77777777" w:rsidTr="00A62EA1">
        <w:trPr>
          <w:trHeight w:val="204"/>
        </w:trPr>
        <w:tc>
          <w:tcPr>
            <w:tcW w:w="4518" w:type="dxa"/>
          </w:tcPr>
          <w:p w14:paraId="63C9AA73" w14:textId="77777777" w:rsidR="00A62EA1" w:rsidRPr="003A00A5" w:rsidRDefault="00A62EA1" w:rsidP="008218A6">
            <w:pPr>
              <w:ind w:left="340"/>
            </w:pPr>
            <w:r w:rsidRPr="003A00A5">
              <w:rPr>
                <w:lang w:val="fi-FI" w:bidi="fi-FI"/>
              </w:rPr>
              <w:t>Tulos ilman poikkeuksellisia eriä kunta, milj. kruunua</w:t>
            </w:r>
          </w:p>
        </w:tc>
        <w:tc>
          <w:tcPr>
            <w:tcW w:w="1217" w:type="dxa"/>
          </w:tcPr>
          <w:p w14:paraId="4A9CF8A9" w14:textId="77777777" w:rsidR="00A62EA1" w:rsidRPr="00FD30E9" w:rsidRDefault="00FD30E9" w:rsidP="008218A6">
            <w:pPr>
              <w:ind w:left="340"/>
            </w:pPr>
            <w:r w:rsidRPr="00FD30E9">
              <w:rPr>
                <w:lang w:val="fi-FI" w:bidi="fi-FI"/>
              </w:rPr>
              <w:t>219</w:t>
            </w:r>
          </w:p>
        </w:tc>
        <w:tc>
          <w:tcPr>
            <w:tcW w:w="1217" w:type="dxa"/>
          </w:tcPr>
          <w:p w14:paraId="02FC410B" w14:textId="77777777" w:rsidR="00A62EA1" w:rsidRPr="003A00A5" w:rsidRDefault="0088509F" w:rsidP="008218A6">
            <w:pPr>
              <w:ind w:left="340"/>
              <w:rPr>
                <w:i/>
              </w:rPr>
            </w:pPr>
            <w:r>
              <w:rPr>
                <w:i/>
                <w:lang w:val="fi-FI" w:bidi="fi-FI"/>
              </w:rPr>
              <w:t>Vähenee</w:t>
            </w:r>
          </w:p>
        </w:tc>
        <w:tc>
          <w:tcPr>
            <w:tcW w:w="1217" w:type="dxa"/>
          </w:tcPr>
          <w:p w14:paraId="2257E7B7" w14:textId="77777777" w:rsidR="00A62EA1" w:rsidRPr="003A00A5" w:rsidRDefault="00A62EA1" w:rsidP="008218A6">
            <w:pPr>
              <w:ind w:left="340"/>
              <w:rPr>
                <w:i/>
              </w:rPr>
            </w:pPr>
            <w:r w:rsidRPr="003A00A5">
              <w:rPr>
                <w:i/>
                <w:lang w:val="fi-FI" w:bidi="fi-FI"/>
              </w:rPr>
              <w:t>Lisääntyy</w:t>
            </w:r>
          </w:p>
        </w:tc>
        <w:tc>
          <w:tcPr>
            <w:tcW w:w="1217" w:type="dxa"/>
          </w:tcPr>
          <w:p w14:paraId="21610B1C" w14:textId="77777777" w:rsidR="00A62EA1" w:rsidRPr="00A62EA1" w:rsidRDefault="00A62EA1" w:rsidP="008218A6">
            <w:pPr>
              <w:ind w:left="340"/>
              <w:rPr>
                <w:i/>
                <w:highlight w:val="yellow"/>
              </w:rPr>
            </w:pPr>
            <w:r w:rsidRPr="0088509F">
              <w:rPr>
                <w:i/>
                <w:lang w:val="fi-FI" w:bidi="fi-FI"/>
              </w:rPr>
              <w:t>Lisääntyy</w:t>
            </w:r>
          </w:p>
        </w:tc>
      </w:tr>
      <w:tr w:rsidR="00A62EA1" w:rsidRPr="003A00A5" w14:paraId="70C977C4" w14:textId="77777777" w:rsidTr="00A62EA1">
        <w:trPr>
          <w:trHeight w:val="204"/>
        </w:trPr>
        <w:tc>
          <w:tcPr>
            <w:tcW w:w="4518" w:type="dxa"/>
          </w:tcPr>
          <w:p w14:paraId="05E75452" w14:textId="77777777" w:rsidR="00A62EA1" w:rsidRPr="003A00A5" w:rsidRDefault="00A62EA1" w:rsidP="008218A6">
            <w:pPr>
              <w:ind w:left="340"/>
            </w:pPr>
            <w:r w:rsidRPr="003A00A5">
              <w:rPr>
                <w:lang w:val="fi-FI" w:bidi="fi-FI"/>
              </w:rPr>
              <w:t>Konsernin tulos verojen jälkeen, milj. kruunua</w:t>
            </w:r>
          </w:p>
        </w:tc>
        <w:tc>
          <w:tcPr>
            <w:tcW w:w="1217" w:type="dxa"/>
          </w:tcPr>
          <w:p w14:paraId="169A773A" w14:textId="77777777" w:rsidR="00A62EA1" w:rsidRPr="00FD30E9" w:rsidRDefault="00FD30E9" w:rsidP="008218A6">
            <w:pPr>
              <w:ind w:left="340"/>
            </w:pPr>
            <w:r w:rsidRPr="00FD30E9">
              <w:rPr>
                <w:lang w:val="fi-FI" w:bidi="fi-FI"/>
              </w:rPr>
              <w:t>959</w:t>
            </w:r>
          </w:p>
        </w:tc>
        <w:tc>
          <w:tcPr>
            <w:tcW w:w="1217" w:type="dxa"/>
          </w:tcPr>
          <w:p w14:paraId="3EDCB0B4" w14:textId="77777777" w:rsidR="00A62EA1" w:rsidRPr="003A00A5" w:rsidRDefault="00A62EA1" w:rsidP="008218A6">
            <w:pPr>
              <w:ind w:left="340"/>
              <w:rPr>
                <w:i/>
              </w:rPr>
            </w:pPr>
            <w:r w:rsidRPr="003A00A5">
              <w:rPr>
                <w:i/>
                <w:lang w:val="fi-FI" w:bidi="fi-FI"/>
              </w:rPr>
              <w:t xml:space="preserve">Vähenee </w:t>
            </w:r>
          </w:p>
        </w:tc>
        <w:tc>
          <w:tcPr>
            <w:tcW w:w="1217" w:type="dxa"/>
          </w:tcPr>
          <w:p w14:paraId="3373D1EB" w14:textId="77777777" w:rsidR="00A62EA1" w:rsidRPr="003A00A5" w:rsidRDefault="00A62EA1" w:rsidP="008218A6">
            <w:pPr>
              <w:ind w:left="340"/>
              <w:rPr>
                <w:i/>
              </w:rPr>
            </w:pPr>
            <w:r w:rsidRPr="003A00A5">
              <w:rPr>
                <w:i/>
                <w:lang w:val="fi-FI" w:bidi="fi-FI"/>
              </w:rPr>
              <w:t>Lisääntyy</w:t>
            </w:r>
          </w:p>
        </w:tc>
        <w:tc>
          <w:tcPr>
            <w:tcW w:w="1217" w:type="dxa"/>
          </w:tcPr>
          <w:p w14:paraId="7D48E6C1" w14:textId="77777777" w:rsidR="00A62EA1" w:rsidRPr="00A62EA1" w:rsidRDefault="0088509F" w:rsidP="008218A6">
            <w:pPr>
              <w:ind w:left="340"/>
              <w:rPr>
                <w:i/>
                <w:highlight w:val="yellow"/>
              </w:rPr>
            </w:pPr>
            <w:r w:rsidRPr="003A00A5">
              <w:rPr>
                <w:i/>
                <w:lang w:val="fi-FI" w:bidi="fi-FI"/>
              </w:rPr>
              <w:t>Vähenee</w:t>
            </w:r>
          </w:p>
        </w:tc>
      </w:tr>
      <w:tr w:rsidR="00A62EA1" w:rsidRPr="003A00A5" w14:paraId="7488AF61" w14:textId="77777777" w:rsidTr="00A62EA1">
        <w:trPr>
          <w:trHeight w:val="204"/>
        </w:trPr>
        <w:tc>
          <w:tcPr>
            <w:tcW w:w="4518" w:type="dxa"/>
          </w:tcPr>
          <w:p w14:paraId="7C048B91" w14:textId="77777777" w:rsidR="00A62EA1" w:rsidRPr="003A00A5" w:rsidRDefault="00A62EA1" w:rsidP="008218A6">
            <w:pPr>
              <w:ind w:left="340"/>
            </w:pPr>
            <w:r w:rsidRPr="003A00A5">
              <w:rPr>
                <w:lang w:val="fi-FI" w:bidi="fi-FI"/>
              </w:rPr>
              <w:t>Konsernin nettovelka, tuhat SEK/asukas</w:t>
            </w:r>
          </w:p>
        </w:tc>
        <w:tc>
          <w:tcPr>
            <w:tcW w:w="1217" w:type="dxa"/>
          </w:tcPr>
          <w:p w14:paraId="556B3322" w14:textId="77777777" w:rsidR="00A62EA1" w:rsidRPr="00FD30E9" w:rsidRDefault="00FD30E9" w:rsidP="008218A6">
            <w:pPr>
              <w:ind w:left="340"/>
            </w:pPr>
            <w:r w:rsidRPr="00FD30E9">
              <w:rPr>
                <w:lang w:val="fi-FI" w:bidi="fi-FI"/>
              </w:rPr>
              <w:t>130</w:t>
            </w:r>
          </w:p>
        </w:tc>
        <w:tc>
          <w:tcPr>
            <w:tcW w:w="1217" w:type="dxa"/>
          </w:tcPr>
          <w:p w14:paraId="0C958A21" w14:textId="77777777" w:rsidR="00A62EA1" w:rsidRPr="003A00A5" w:rsidRDefault="00A62EA1" w:rsidP="008218A6">
            <w:pPr>
              <w:ind w:left="340"/>
              <w:rPr>
                <w:i/>
              </w:rPr>
            </w:pPr>
            <w:r w:rsidRPr="003A00A5">
              <w:rPr>
                <w:i/>
                <w:lang w:val="fi-FI" w:bidi="fi-FI"/>
              </w:rPr>
              <w:t>Muuttumaton</w:t>
            </w:r>
          </w:p>
        </w:tc>
        <w:tc>
          <w:tcPr>
            <w:tcW w:w="1217" w:type="dxa"/>
          </w:tcPr>
          <w:p w14:paraId="5FE0C13E" w14:textId="77777777" w:rsidR="00A62EA1" w:rsidRPr="003A00A5" w:rsidRDefault="00A62EA1" w:rsidP="008218A6">
            <w:pPr>
              <w:ind w:left="340"/>
              <w:rPr>
                <w:i/>
              </w:rPr>
            </w:pPr>
            <w:r w:rsidRPr="003A00A5">
              <w:rPr>
                <w:i/>
                <w:lang w:val="fi-FI" w:bidi="fi-FI"/>
              </w:rPr>
              <w:t>Muuttumaton</w:t>
            </w:r>
          </w:p>
        </w:tc>
        <w:tc>
          <w:tcPr>
            <w:tcW w:w="1217" w:type="dxa"/>
          </w:tcPr>
          <w:p w14:paraId="4C625CA3" w14:textId="77777777" w:rsidR="00A62EA1" w:rsidRPr="0088509F" w:rsidRDefault="00A62EA1" w:rsidP="008218A6">
            <w:pPr>
              <w:ind w:left="340"/>
              <w:rPr>
                <w:i/>
              </w:rPr>
            </w:pPr>
            <w:r w:rsidRPr="0088509F">
              <w:rPr>
                <w:i/>
                <w:lang w:val="fi-FI" w:bidi="fi-FI"/>
              </w:rPr>
              <w:t>Muuttumaton</w:t>
            </w:r>
          </w:p>
        </w:tc>
      </w:tr>
      <w:tr w:rsidR="00A62EA1" w:rsidRPr="003A00A5" w14:paraId="480810BC" w14:textId="77777777" w:rsidTr="00A62EA1">
        <w:trPr>
          <w:trHeight w:val="204"/>
        </w:trPr>
        <w:tc>
          <w:tcPr>
            <w:tcW w:w="4518" w:type="dxa"/>
          </w:tcPr>
          <w:p w14:paraId="3ABD1818" w14:textId="77777777" w:rsidR="00A62EA1" w:rsidRPr="00963022" w:rsidRDefault="00A62EA1" w:rsidP="008218A6">
            <w:pPr>
              <w:ind w:left="340"/>
              <w:rPr>
                <w:lang w:val="en-GB"/>
              </w:rPr>
            </w:pPr>
            <w:r w:rsidRPr="00963022">
              <w:rPr>
                <w:lang w:val="fi-FI" w:bidi="fi-FI"/>
              </w:rPr>
              <w:t>Luokitus (S&amp;P Global Rating)</w:t>
            </w:r>
          </w:p>
        </w:tc>
        <w:tc>
          <w:tcPr>
            <w:tcW w:w="1217" w:type="dxa"/>
          </w:tcPr>
          <w:p w14:paraId="0352344D" w14:textId="77777777" w:rsidR="00A62EA1" w:rsidRPr="00FD30E9" w:rsidRDefault="00A62EA1" w:rsidP="008218A6">
            <w:pPr>
              <w:ind w:left="340"/>
            </w:pPr>
            <w:r w:rsidRPr="00FD30E9">
              <w:rPr>
                <w:lang w:val="fi-FI" w:bidi="fi-FI"/>
              </w:rPr>
              <w:t>AA+</w:t>
            </w:r>
          </w:p>
        </w:tc>
        <w:tc>
          <w:tcPr>
            <w:tcW w:w="1217" w:type="dxa"/>
          </w:tcPr>
          <w:p w14:paraId="03AD30D0" w14:textId="77777777" w:rsidR="00A62EA1" w:rsidRPr="003A00A5" w:rsidRDefault="00A62EA1" w:rsidP="008218A6">
            <w:pPr>
              <w:ind w:left="340"/>
              <w:rPr>
                <w:i/>
              </w:rPr>
            </w:pPr>
            <w:r w:rsidRPr="003A00A5">
              <w:rPr>
                <w:i/>
                <w:lang w:val="fi-FI" w:bidi="fi-FI"/>
              </w:rPr>
              <w:t>Muuttumaton</w:t>
            </w:r>
          </w:p>
        </w:tc>
        <w:tc>
          <w:tcPr>
            <w:tcW w:w="1217" w:type="dxa"/>
          </w:tcPr>
          <w:p w14:paraId="26364FF1" w14:textId="77777777" w:rsidR="00A62EA1" w:rsidRPr="003A00A5" w:rsidRDefault="00A62EA1" w:rsidP="008218A6">
            <w:pPr>
              <w:ind w:left="340"/>
              <w:rPr>
                <w:i/>
              </w:rPr>
            </w:pPr>
            <w:r w:rsidRPr="003A00A5">
              <w:rPr>
                <w:i/>
                <w:lang w:val="fi-FI" w:bidi="fi-FI"/>
              </w:rPr>
              <w:t>Muuttumaton</w:t>
            </w:r>
          </w:p>
        </w:tc>
        <w:tc>
          <w:tcPr>
            <w:tcW w:w="1217" w:type="dxa"/>
          </w:tcPr>
          <w:p w14:paraId="0CA599C0" w14:textId="77777777" w:rsidR="00A62EA1" w:rsidRPr="0088509F" w:rsidRDefault="00A62EA1" w:rsidP="008218A6">
            <w:pPr>
              <w:ind w:left="340"/>
              <w:rPr>
                <w:i/>
              </w:rPr>
            </w:pPr>
            <w:r w:rsidRPr="0088509F">
              <w:rPr>
                <w:i/>
                <w:lang w:val="fi-FI" w:bidi="fi-FI"/>
              </w:rPr>
              <w:t>Muuttumaton</w:t>
            </w:r>
          </w:p>
        </w:tc>
      </w:tr>
      <w:tr w:rsidR="00A62EA1" w:rsidRPr="003A00A5" w14:paraId="7ACCE5CD" w14:textId="77777777" w:rsidTr="00A62EA1">
        <w:trPr>
          <w:trHeight w:val="204"/>
        </w:trPr>
        <w:tc>
          <w:tcPr>
            <w:tcW w:w="4518" w:type="dxa"/>
          </w:tcPr>
          <w:p w14:paraId="7876E468" w14:textId="77777777" w:rsidR="00A62EA1" w:rsidRPr="003A00A5" w:rsidRDefault="00A62EA1" w:rsidP="008218A6">
            <w:pPr>
              <w:ind w:left="340"/>
            </w:pPr>
            <w:r w:rsidRPr="003A00A5">
              <w:rPr>
                <w:lang w:val="fi-FI" w:bidi="fi-FI"/>
              </w:rPr>
              <w:t>Kunnan talousarvion noudattaminen</w:t>
            </w:r>
          </w:p>
        </w:tc>
        <w:tc>
          <w:tcPr>
            <w:tcW w:w="1217" w:type="dxa"/>
          </w:tcPr>
          <w:p w14:paraId="042565B7" w14:textId="77777777" w:rsidR="00A62EA1" w:rsidRPr="00FD30E9" w:rsidRDefault="00FD30E9" w:rsidP="008218A6">
            <w:pPr>
              <w:ind w:left="340"/>
            </w:pPr>
            <w:r w:rsidRPr="00FD30E9">
              <w:rPr>
                <w:lang w:val="fi-FI" w:bidi="fi-FI"/>
              </w:rPr>
              <w:t>100,2</w:t>
            </w:r>
          </w:p>
        </w:tc>
        <w:tc>
          <w:tcPr>
            <w:tcW w:w="1217" w:type="dxa"/>
          </w:tcPr>
          <w:p w14:paraId="29BBE1BE" w14:textId="77777777" w:rsidR="00A62EA1" w:rsidRPr="003A00A5" w:rsidRDefault="00A62EA1" w:rsidP="008218A6">
            <w:pPr>
              <w:ind w:left="340"/>
              <w:rPr>
                <w:i/>
              </w:rPr>
            </w:pPr>
            <w:r w:rsidRPr="003A00A5">
              <w:rPr>
                <w:i/>
                <w:lang w:val="fi-FI" w:bidi="fi-FI"/>
              </w:rPr>
              <w:t>Lisääntyy</w:t>
            </w:r>
          </w:p>
        </w:tc>
        <w:tc>
          <w:tcPr>
            <w:tcW w:w="1217" w:type="dxa"/>
          </w:tcPr>
          <w:p w14:paraId="27CFFBB5" w14:textId="77777777" w:rsidR="00A62EA1" w:rsidRPr="003A00A5" w:rsidRDefault="00A62EA1" w:rsidP="008218A6">
            <w:pPr>
              <w:ind w:left="340"/>
              <w:rPr>
                <w:i/>
              </w:rPr>
            </w:pPr>
            <w:r w:rsidRPr="003A00A5">
              <w:rPr>
                <w:i/>
                <w:lang w:val="fi-FI" w:bidi="fi-FI"/>
              </w:rPr>
              <w:t>Lisääntyy</w:t>
            </w:r>
          </w:p>
        </w:tc>
        <w:tc>
          <w:tcPr>
            <w:tcW w:w="1217" w:type="dxa"/>
          </w:tcPr>
          <w:p w14:paraId="70F825BE" w14:textId="77777777" w:rsidR="00A62EA1" w:rsidRPr="00A62EA1" w:rsidRDefault="0034039C" w:rsidP="008218A6">
            <w:pPr>
              <w:ind w:left="340"/>
              <w:rPr>
                <w:i/>
                <w:highlight w:val="yellow"/>
              </w:rPr>
            </w:pPr>
            <w:r w:rsidRPr="0088509F">
              <w:rPr>
                <w:i/>
                <w:lang w:val="fi-FI" w:bidi="fi-FI"/>
              </w:rPr>
              <w:t>Muuttumaton</w:t>
            </w:r>
          </w:p>
        </w:tc>
      </w:tr>
    </w:tbl>
    <w:p w14:paraId="2198EC60" w14:textId="77777777" w:rsidR="003A00A5" w:rsidRPr="003A00A5" w:rsidRDefault="003A00A5" w:rsidP="003A00A5">
      <w:r w:rsidRPr="003A00A5">
        <w:rPr>
          <w:lang w:val="fi-FI" w:bidi="fi-FI"/>
        </w:rPr>
        <w:t>*Viimeisin arvo viittaa vuoden 2020 vuositilinpäätöksen mukaisiin tuloksiin</w:t>
      </w:r>
    </w:p>
    <w:p w14:paraId="02B0DEF1" w14:textId="77777777" w:rsidR="003A00A5" w:rsidRPr="003A00A5" w:rsidRDefault="003A00A5" w:rsidP="003A00A5">
      <w:r w:rsidRPr="003A00A5">
        <w:rPr>
          <w:lang w:val="fi-FI" w:bidi="fi-FI"/>
        </w:rPr>
        <w:t>Vuosien 2022–2024 odotettu suuntaus saattaa muuttua, kun vuoden 2021 tulos on selvä.</w:t>
      </w:r>
    </w:p>
    <w:p w14:paraId="566582A4" w14:textId="77777777" w:rsidR="003A00A5" w:rsidRPr="003A00A5" w:rsidRDefault="003A00A5" w:rsidP="003A00A5">
      <w:r w:rsidRPr="003A00A5">
        <w:rPr>
          <w:lang w:val="fi-FI" w:bidi="fi-FI"/>
        </w:rPr>
        <w:t>Aiheeseen liittyvät ohjelmat ja suunnitelmat:</w:t>
      </w:r>
      <w:r w:rsidRPr="003A00A5">
        <w:rPr>
          <w:lang w:val="fi-FI" w:bidi="fi-FI"/>
        </w:rPr>
        <w:br/>
      </w:r>
    </w:p>
    <w:p w14:paraId="0F51A52D" w14:textId="77777777" w:rsidR="003A00A5" w:rsidRPr="00C01836" w:rsidRDefault="003A00A5" w:rsidP="005420D3">
      <w:pPr>
        <w:numPr>
          <w:ilvl w:val="1"/>
          <w:numId w:val="11"/>
        </w:numPr>
      </w:pPr>
      <w:r w:rsidRPr="00C01836">
        <w:rPr>
          <w:lang w:val="fi-FI" w:bidi="fi-FI"/>
        </w:rPr>
        <w:t xml:space="preserve">Järkevän taloudenhoidon suuntaviivat </w:t>
      </w:r>
    </w:p>
    <w:p w14:paraId="4A3A606D" w14:textId="77777777" w:rsidR="003A00A5" w:rsidRPr="003A00A5" w:rsidRDefault="003A00A5" w:rsidP="005420D3">
      <w:pPr>
        <w:numPr>
          <w:ilvl w:val="1"/>
          <w:numId w:val="11"/>
        </w:numPr>
      </w:pPr>
      <w:r w:rsidRPr="003A00A5">
        <w:rPr>
          <w:lang w:val="fi-FI" w:bidi="fi-FI"/>
        </w:rPr>
        <w:t>Valtuuston tavoitteet ja suuntaviivat yksityisille palvelujen tuottajille 2019–2022</w:t>
      </w:r>
    </w:p>
    <w:p w14:paraId="3C920E77" w14:textId="77777777" w:rsidR="003A00A5" w:rsidRPr="003A00A5" w:rsidRDefault="003A00A5" w:rsidP="005420D3">
      <w:pPr>
        <w:numPr>
          <w:ilvl w:val="1"/>
          <w:numId w:val="11"/>
        </w:numPr>
      </w:pPr>
      <w:r w:rsidRPr="003A00A5">
        <w:rPr>
          <w:lang w:val="fi-FI" w:bidi="fi-FI"/>
        </w:rPr>
        <w:t>Digitalisointistrategia 2019–2022</w:t>
      </w:r>
    </w:p>
    <w:p w14:paraId="4A41AF0A" w14:textId="77777777" w:rsidR="003A00A5" w:rsidRPr="003A00A5" w:rsidRDefault="003A00A5" w:rsidP="005420D3">
      <w:pPr>
        <w:numPr>
          <w:ilvl w:val="1"/>
          <w:numId w:val="11"/>
        </w:numPr>
      </w:pPr>
      <w:r w:rsidRPr="003A00A5">
        <w:rPr>
          <w:lang w:val="fi-FI" w:bidi="fi-FI"/>
        </w:rPr>
        <w:t>Toimintasuunnitelma huijausten ja petosten hillitsemiseksi 2015-toistaiseksi</w:t>
      </w:r>
    </w:p>
    <w:p w14:paraId="54E4FB3B" w14:textId="77777777" w:rsidR="003A00A5" w:rsidRPr="003A00A5" w:rsidRDefault="003A00A5" w:rsidP="003A00A5">
      <w:pPr>
        <w:rPr>
          <w:b/>
        </w:rPr>
      </w:pPr>
      <w:r w:rsidRPr="003A00A5">
        <w:rPr>
          <w:b/>
          <w:lang w:val="fi-FI" w:bidi="fi-FI"/>
        </w:rPr>
        <w:br w:type="page"/>
      </w:r>
    </w:p>
    <w:p w14:paraId="6F86F626" w14:textId="77777777" w:rsidR="003A00A5" w:rsidRPr="00746444" w:rsidRDefault="003A00A5" w:rsidP="00746444">
      <w:pPr>
        <w:pStyle w:val="Rubrik2Nr"/>
        <w:rPr>
          <w:color w:val="0D6FB5"/>
        </w:rPr>
      </w:pPr>
      <w:r w:rsidRPr="00746444">
        <w:rPr>
          <w:color w:val="0D6FB5"/>
          <w:lang w:val="fi-FI" w:bidi="fi-FI"/>
        </w:rPr>
        <w:lastRenderedPageBreak/>
        <w:t>Houkutteleva työnantaja</w:t>
      </w:r>
    </w:p>
    <w:p w14:paraId="279E0957" w14:textId="77777777" w:rsidR="003A00A5" w:rsidRPr="003A00A5" w:rsidRDefault="003A00A5" w:rsidP="004319B8">
      <w:pPr>
        <w:pStyle w:val="Rubrik4"/>
      </w:pPr>
      <w:r w:rsidRPr="003A00A5">
        <w:rPr>
          <w:lang w:val="fi-FI" w:bidi="fi-FI"/>
        </w:rPr>
        <w:t>Södertäljen kunta voi rekrytoida ja pitää palveluksessa työntekijöitä, joilla on vaadittava ammattitaito</w:t>
      </w:r>
    </w:p>
    <w:p w14:paraId="74D91A0E" w14:textId="77777777" w:rsidR="00A62EA1" w:rsidRDefault="00A62EA1" w:rsidP="00A62EA1">
      <w:r>
        <w:rPr>
          <w:lang w:val="fi-FI" w:bidi="fi-FI"/>
        </w:rPr>
        <w:t>Södertäljen kunnan tulee olla houkutteleva ja tasa-arvoinen työnantaja. Kunnan tulee tarjota kehittäviä työpaikkoja, hyvä työympäristö ja hyvää johtamista sekä edellytyksiä ja etuja, jotka mahdollistavat tulevaisuuden työntekijöiden houkuttelemisen ja rekrytoinnin sekä nykyisten työntekijöiden palveluksessa pitämisen kehittymismahdollisuuksia tarjoamalla. Edellytyksiä kestävälle henkilöstön sitoutumiselle on edelleen vahvistettava.</w:t>
      </w:r>
    </w:p>
    <w:p w14:paraId="47C987EB" w14:textId="77777777" w:rsidR="00A62EA1" w:rsidRDefault="00A62EA1" w:rsidP="00A62EA1">
      <w:r>
        <w:rPr>
          <w:lang w:val="fi-FI" w:bidi="fi-FI"/>
        </w:rPr>
        <w:t>Lähivuosina on nähtävissä edelleen huomattavia kehitys- ja parannusmahdollisuuksia osaamisen tarjontarahaston tuella ja vuonna 2018 kehitetyllä ja nyt vuoteen 2025 asti jatkettavalla osaamisen saatavuuden suunnitelmalla. Yksi tärkeimmistä osaamisen tarjonnan vahvistamisen strategioista on luoda työntekijöille mahdollisuuksia edetä organisaatiossa sisäisesti, ottaa enemmän vastuuta ja kehittyä organisaatiossa. Kunnan tulee jatkossakin esittää henkilökunnalle vaatimuksia hyvästä ruotsin kielen taidosta. Toimenpiteitä tulee toteuttaa sekä ruotsin kielen taidon turvaamiseksi rekrytointihetkellä että nykyisten työntekijöiden kielitaidon kehittämiseksi.</w:t>
      </w:r>
    </w:p>
    <w:p w14:paraId="19700D87" w14:textId="77777777" w:rsidR="00A62EA1" w:rsidRDefault="00A62EA1" w:rsidP="00A62EA1">
      <w:r>
        <w:rPr>
          <w:lang w:val="fi-FI" w:bidi="fi-FI"/>
        </w:rPr>
        <w:t>Johtajuus on yksi ratkaisevista tekijöistä mahdollisuudessa menestyä työnantajana. Hallinnossa on määritelty esimiehen toimeksiantojen periaatteet, jotta koko organisaatio kehittyy siihen suuntaan, että esimiehillä on kaikissa toiminnoissa kohtuullinen henkilöstömäärä. Työntekijöiden määrä esimiestä kohti on merkityksellinen, jotta esimiehellä olisi edellytykset harjoittaa hyvää johtajuutta ja jotta työntekijöillä olisi mahdollisuus hyvään vuoropuheluun ja palautteeseen. Työnantajatarjontaamme kunnan esimiestehtävissä on siis yhtä tärkeää vahvistaa esimiesten rekrytoinnissa kuin muun henkilöstöpolitiikan osalta. Rekrytoinnissa osaaminen on aina etusijalla, mutta näemme pitkän tähtäimen arvoa siinä, että yhä suuremmalla osalla esimiehistä on paikallistuntemusta ja he asuvat pitkällä aikavälillä Södertäljen kunnassa.</w:t>
      </w:r>
    </w:p>
    <w:p w14:paraId="7AC3AEA2" w14:textId="77777777" w:rsidR="00A62EA1" w:rsidRDefault="00A62EA1" w:rsidP="00A62EA1">
      <w:r>
        <w:rPr>
          <w:lang w:val="fi-FI" w:bidi="fi-FI"/>
        </w:rPr>
        <w:t>Tasa-arvoisen työnantajapolitiikan on torjuttava työolojen eroja mies- ja naisvaltaisilla työpaikoilla. Erityisesti vanhustenhuollon työoloja on kehitettävä edelleen. Viime vuosien parannustyön pohjalta syntyy uusia tapoja työskennellä henkilöstön, aikataulutuksen ja työn organisoinnin kanssa. Matka kohti kokoaikatyötä normina jatkuu ja nykyisessä toimintasuunnitelmassa kokoaikatyön tulee olla Södertäljen kunnan normaali työllistämistilanne vuoteen 2024 mennessä. Epävarmoja työsuhteen muotoja on rajoitettava. Työaikajärjestelyjä tulee kehittää ja jaettuja työvuoroja tulee jatkossakin välttää.</w:t>
      </w:r>
    </w:p>
    <w:p w14:paraId="400F7EB4" w14:textId="77777777" w:rsidR="00A62EA1" w:rsidRDefault="00A62EA1" w:rsidP="00A62EA1">
      <w:r>
        <w:rPr>
          <w:lang w:val="fi-FI" w:bidi="fi-FI"/>
        </w:rPr>
        <w:t>Työympäristöasiat ovat ratkaisevan tärkeitä, jotta kunta olisi hyvä työnantaja. Työntekijöiden tulee tuntea olonsa turvalliseksi ja viihtyä työssään. Södertäljen kunta jatkaa pitkäaikaisen terveystyön turvaamista, jotta ennen pandemiaa vallinnut sairauspoissaolojen vähenemisen suuntaus saadaan palautettua ja jatkumaan. Työperäisten sairauksien torjunta on tarpeen erityisesti vanhustenhuollossa ja esiopetuksessa, jossa sairauspoissaolot ovat pandemiasta huolimatta edelleen liian korkealla tasolla.</w:t>
      </w:r>
    </w:p>
    <w:p w14:paraId="2D7C90FD" w14:textId="77777777" w:rsidR="00A62EA1" w:rsidRDefault="00A62EA1" w:rsidP="00A62EA1">
      <w:r>
        <w:rPr>
          <w:lang w:val="fi-FI" w:bidi="fi-FI"/>
        </w:rPr>
        <w:t>Kunnan hallinto ja yhtiöt tekevät entistä enemmän yhteistyötä työnantaja-asioissa.</w:t>
      </w:r>
    </w:p>
    <w:p w14:paraId="1ED30C55" w14:textId="77777777" w:rsidR="00A62EA1" w:rsidRDefault="00A62EA1" w:rsidP="00A62EA1">
      <w:r>
        <w:rPr>
          <w:lang w:val="fi-FI" w:bidi="fi-FI"/>
        </w:rPr>
        <w:t>On äärimmäisen tärkeää turvata luottamus kuntaorganisaation hallintoon ja yhtiöihin. Kunnan tulee osana sitä vahvistaa taustaselvitystyötä, muun muassa vakavan järjestäytyneen rikollisuuden torjumiseksi.</w:t>
      </w:r>
    </w:p>
    <w:p w14:paraId="218CEB3A" w14:textId="77777777" w:rsidR="003A00A5" w:rsidRPr="003A00A5" w:rsidRDefault="00A62EA1" w:rsidP="003A00A5">
      <w:r>
        <w:rPr>
          <w:lang w:val="fi-FI" w:bidi="fi-FI"/>
        </w:rPr>
        <w:t>Erityisesti houkuttelevana työnantajana olemisen osalta kunnanvaltuusto seuraa seuraavia vakauden mittoja osaamisen tarjonnassa. Odotettu suuntaus on arvio. Muuttumaton suuntaus voi koostua lievästä noususta tai laskusta.</w:t>
      </w:r>
      <w:r w:rsidR="003A00A5" w:rsidRPr="003A00A5">
        <w:rPr>
          <w:lang w:val="fi-FI" w:bidi="fi-FI"/>
        </w:rPr>
        <w:br w:type="page"/>
      </w:r>
    </w:p>
    <w:p w14:paraId="3628DB73" w14:textId="77777777" w:rsidR="003A00A5" w:rsidRPr="003A00A5" w:rsidRDefault="003A00A5" w:rsidP="003A00A5"/>
    <w:p w14:paraId="58779A46" w14:textId="77777777" w:rsidR="003A00A5" w:rsidRPr="003A00A5" w:rsidRDefault="003A00A5" w:rsidP="003A00A5"/>
    <w:tbl>
      <w:tblPr>
        <w:tblW w:w="9356" w:type="dxa"/>
        <w:tblInd w:w="-10" w:type="dxa"/>
        <w:tblBorders>
          <w:top w:val="single" w:sz="8" w:space="0" w:color="0070C0"/>
          <w:left w:val="single" w:sz="8" w:space="0" w:color="0070C0"/>
          <w:bottom w:val="single" w:sz="8" w:space="0" w:color="0070C0"/>
          <w:right w:val="single" w:sz="8" w:space="0" w:color="0070C0"/>
          <w:insideH w:val="single" w:sz="8" w:space="0" w:color="0070C0"/>
        </w:tblBorders>
        <w:shd w:val="clear" w:color="auto" w:fill="0070C0"/>
        <w:tblLayout w:type="fixed"/>
        <w:tblLook w:val="01E0" w:firstRow="1" w:lastRow="1" w:firstColumn="1" w:lastColumn="1" w:noHBand="0" w:noVBand="0"/>
      </w:tblPr>
      <w:tblGrid>
        <w:gridCol w:w="4349"/>
        <w:gridCol w:w="1205"/>
        <w:gridCol w:w="1250"/>
        <w:gridCol w:w="1276"/>
        <w:gridCol w:w="1276"/>
      </w:tblGrid>
      <w:tr w:rsidR="00A62EA1" w:rsidRPr="003A00A5" w14:paraId="1D753691" w14:textId="77777777" w:rsidTr="00430EC0">
        <w:trPr>
          <w:trHeight w:val="620"/>
        </w:trPr>
        <w:tc>
          <w:tcPr>
            <w:tcW w:w="4349" w:type="dxa"/>
            <w:shd w:val="clear" w:color="auto" w:fill="0070C0"/>
          </w:tcPr>
          <w:p w14:paraId="7F6664EA" w14:textId="77777777" w:rsidR="00A62EA1" w:rsidRPr="004319B8" w:rsidRDefault="00A62EA1" w:rsidP="003A00A5">
            <w:pPr>
              <w:rPr>
                <w:b/>
                <w:color w:val="FFFFFF"/>
              </w:rPr>
            </w:pPr>
            <w:r w:rsidRPr="004319B8">
              <w:rPr>
                <w:b/>
                <w:color w:val="FFFFFF"/>
                <w:lang w:val="fi-FI" w:bidi="fi-FI"/>
              </w:rPr>
              <w:t>Kunnanvaltuuston indikaattorit</w:t>
            </w:r>
          </w:p>
        </w:tc>
        <w:tc>
          <w:tcPr>
            <w:tcW w:w="1205" w:type="dxa"/>
            <w:shd w:val="clear" w:color="auto" w:fill="0070C0"/>
          </w:tcPr>
          <w:p w14:paraId="163A5E05" w14:textId="77777777" w:rsidR="00A62EA1" w:rsidRPr="004319B8" w:rsidRDefault="00A62EA1" w:rsidP="003A00A5">
            <w:pPr>
              <w:rPr>
                <w:b/>
                <w:color w:val="FFFFFF"/>
              </w:rPr>
            </w:pPr>
            <w:r w:rsidRPr="004319B8">
              <w:rPr>
                <w:b/>
                <w:color w:val="FFFFFF"/>
                <w:lang w:val="fi-FI" w:bidi="fi-FI"/>
              </w:rPr>
              <w:t>Viimeisin arvo*</w:t>
            </w:r>
          </w:p>
        </w:tc>
        <w:tc>
          <w:tcPr>
            <w:tcW w:w="1250" w:type="dxa"/>
            <w:shd w:val="clear" w:color="auto" w:fill="0070C0"/>
          </w:tcPr>
          <w:p w14:paraId="5835A6C7" w14:textId="77777777" w:rsidR="00A62EA1" w:rsidRPr="004319B8" w:rsidRDefault="00A62EA1" w:rsidP="003A00A5">
            <w:pPr>
              <w:rPr>
                <w:b/>
                <w:color w:val="FFFFFF"/>
              </w:rPr>
            </w:pPr>
            <w:r w:rsidRPr="004319B8">
              <w:rPr>
                <w:b/>
                <w:color w:val="FFFFFF"/>
                <w:lang w:val="fi-FI" w:bidi="fi-FI"/>
              </w:rPr>
              <w:t>Odotettu suuntaus 2022</w:t>
            </w:r>
          </w:p>
        </w:tc>
        <w:tc>
          <w:tcPr>
            <w:tcW w:w="1276" w:type="dxa"/>
            <w:shd w:val="clear" w:color="auto" w:fill="0070C0"/>
          </w:tcPr>
          <w:p w14:paraId="1D4C0CA4" w14:textId="77777777" w:rsidR="00A62EA1" w:rsidRPr="004319B8" w:rsidRDefault="00A62EA1" w:rsidP="003A00A5">
            <w:pPr>
              <w:rPr>
                <w:b/>
                <w:color w:val="FFFFFF"/>
              </w:rPr>
            </w:pPr>
            <w:r w:rsidRPr="004319B8">
              <w:rPr>
                <w:b/>
                <w:color w:val="FFFFFF"/>
                <w:lang w:val="fi-FI" w:bidi="fi-FI"/>
              </w:rPr>
              <w:t>Odotettu suuntaus 2023</w:t>
            </w:r>
          </w:p>
        </w:tc>
        <w:tc>
          <w:tcPr>
            <w:tcW w:w="1276" w:type="dxa"/>
            <w:shd w:val="clear" w:color="auto" w:fill="0070C0"/>
          </w:tcPr>
          <w:p w14:paraId="098DBC15" w14:textId="77777777" w:rsidR="00A62EA1" w:rsidRPr="004319B8" w:rsidRDefault="00A62EA1" w:rsidP="003A00A5">
            <w:pPr>
              <w:rPr>
                <w:b/>
                <w:color w:val="FFFFFF"/>
              </w:rPr>
            </w:pPr>
            <w:r w:rsidRPr="00A62EA1">
              <w:rPr>
                <w:b/>
                <w:color w:val="FFFFFF"/>
                <w:lang w:val="fi-FI" w:bidi="fi-FI"/>
              </w:rPr>
              <w:t>Odotettu suuntaus 2024</w:t>
            </w:r>
          </w:p>
        </w:tc>
      </w:tr>
      <w:tr w:rsidR="00A62EA1" w:rsidRPr="003A00A5" w14:paraId="0B537BE0" w14:textId="77777777" w:rsidTr="00430EC0">
        <w:trPr>
          <w:cantSplit/>
          <w:trHeight w:val="20"/>
        </w:trPr>
        <w:tc>
          <w:tcPr>
            <w:tcW w:w="4349" w:type="dxa"/>
            <w:shd w:val="clear" w:color="auto" w:fill="auto"/>
            <w:vAlign w:val="center"/>
          </w:tcPr>
          <w:p w14:paraId="34BB1059" w14:textId="77777777" w:rsidR="00A62EA1" w:rsidRPr="003A00A5" w:rsidRDefault="00A62EA1" w:rsidP="003A00A5">
            <w:r w:rsidRPr="003A00A5">
              <w:rPr>
                <w:lang w:val="fi-FI" w:bidi="fi-FI"/>
              </w:rPr>
              <w:t>Työntekijöiden sitoutuminen (HME), koko kunta – Kokonaisindeksi</w:t>
            </w:r>
          </w:p>
        </w:tc>
        <w:tc>
          <w:tcPr>
            <w:tcW w:w="1205" w:type="dxa"/>
            <w:shd w:val="clear" w:color="auto" w:fill="auto"/>
            <w:vAlign w:val="center"/>
          </w:tcPr>
          <w:p w14:paraId="076EFE9A" w14:textId="77777777" w:rsidR="00A62EA1" w:rsidRPr="00430EC0" w:rsidRDefault="00430EC0" w:rsidP="00430EC0">
            <w:pPr>
              <w:jc w:val="center"/>
            </w:pPr>
            <w:r w:rsidRPr="00430EC0">
              <w:rPr>
                <w:lang w:val="fi-FI" w:bidi="fi-FI"/>
              </w:rPr>
              <w:t>78</w:t>
            </w:r>
          </w:p>
        </w:tc>
        <w:tc>
          <w:tcPr>
            <w:tcW w:w="1250" w:type="dxa"/>
            <w:shd w:val="clear" w:color="auto" w:fill="auto"/>
            <w:vAlign w:val="center"/>
          </w:tcPr>
          <w:p w14:paraId="482A0C5F" w14:textId="77777777" w:rsidR="00A62EA1" w:rsidRPr="003A00A5" w:rsidRDefault="00A62EA1" w:rsidP="00430EC0">
            <w:pPr>
              <w:jc w:val="center"/>
              <w:rPr>
                <w:i/>
              </w:rPr>
            </w:pPr>
            <w:r w:rsidRPr="003A00A5">
              <w:rPr>
                <w:i/>
                <w:lang w:val="fi-FI" w:bidi="fi-FI"/>
              </w:rPr>
              <w:t>Lisääntyy</w:t>
            </w:r>
          </w:p>
        </w:tc>
        <w:tc>
          <w:tcPr>
            <w:tcW w:w="1276" w:type="dxa"/>
            <w:shd w:val="clear" w:color="auto" w:fill="auto"/>
            <w:vAlign w:val="center"/>
          </w:tcPr>
          <w:p w14:paraId="10297BB8" w14:textId="77777777" w:rsidR="00A62EA1" w:rsidRPr="003A00A5" w:rsidRDefault="00A62EA1" w:rsidP="00430EC0">
            <w:pPr>
              <w:jc w:val="center"/>
              <w:rPr>
                <w:i/>
              </w:rPr>
            </w:pPr>
            <w:r w:rsidRPr="003A00A5">
              <w:rPr>
                <w:i/>
                <w:lang w:val="fi-FI" w:bidi="fi-FI"/>
              </w:rPr>
              <w:t>Lisääntyy</w:t>
            </w:r>
          </w:p>
        </w:tc>
        <w:tc>
          <w:tcPr>
            <w:tcW w:w="1276" w:type="dxa"/>
            <w:vAlign w:val="center"/>
          </w:tcPr>
          <w:p w14:paraId="227C0834" w14:textId="77777777" w:rsidR="00A62EA1" w:rsidRPr="003A00A5" w:rsidRDefault="00430EC0" w:rsidP="00430EC0">
            <w:pPr>
              <w:rPr>
                <w:i/>
              </w:rPr>
            </w:pPr>
            <w:r>
              <w:rPr>
                <w:i/>
                <w:lang w:val="fi-FI" w:bidi="fi-FI"/>
              </w:rPr>
              <w:t>Lisääntyy</w:t>
            </w:r>
          </w:p>
        </w:tc>
      </w:tr>
      <w:tr w:rsidR="00A62EA1" w:rsidRPr="003A00A5" w14:paraId="1D3DD3C2" w14:textId="77777777" w:rsidTr="00430EC0">
        <w:trPr>
          <w:cantSplit/>
          <w:trHeight w:val="20"/>
        </w:trPr>
        <w:tc>
          <w:tcPr>
            <w:tcW w:w="4349" w:type="dxa"/>
            <w:shd w:val="clear" w:color="auto" w:fill="auto"/>
            <w:vAlign w:val="center"/>
          </w:tcPr>
          <w:p w14:paraId="1CC3F0B5" w14:textId="77777777" w:rsidR="00A62EA1" w:rsidRPr="003A00A5" w:rsidRDefault="00A62EA1" w:rsidP="003A00A5">
            <w:r w:rsidRPr="003A00A5">
              <w:rPr>
                <w:lang w:val="fi-FI" w:bidi="fi-FI"/>
              </w:rPr>
              <w:t>Henkilöstön vaihtuvuus (%)</w:t>
            </w:r>
          </w:p>
        </w:tc>
        <w:tc>
          <w:tcPr>
            <w:tcW w:w="1205" w:type="dxa"/>
            <w:shd w:val="clear" w:color="auto" w:fill="auto"/>
            <w:vAlign w:val="center"/>
          </w:tcPr>
          <w:p w14:paraId="23F6094D" w14:textId="77777777" w:rsidR="00A62EA1" w:rsidRPr="00430EC0" w:rsidRDefault="00430EC0" w:rsidP="00430EC0">
            <w:pPr>
              <w:jc w:val="center"/>
            </w:pPr>
            <w:r w:rsidRPr="00430EC0">
              <w:rPr>
                <w:lang w:val="fi-FI" w:bidi="fi-FI"/>
              </w:rPr>
              <w:t>8,7</w:t>
            </w:r>
          </w:p>
        </w:tc>
        <w:tc>
          <w:tcPr>
            <w:tcW w:w="1250" w:type="dxa"/>
            <w:shd w:val="clear" w:color="auto" w:fill="auto"/>
            <w:vAlign w:val="center"/>
          </w:tcPr>
          <w:p w14:paraId="30CF95A2" w14:textId="77777777" w:rsidR="00A62EA1" w:rsidRPr="003A00A5" w:rsidRDefault="00A62EA1" w:rsidP="00430EC0">
            <w:pPr>
              <w:jc w:val="center"/>
              <w:rPr>
                <w:i/>
              </w:rPr>
            </w:pPr>
            <w:r w:rsidRPr="003A00A5">
              <w:rPr>
                <w:i/>
                <w:lang w:val="fi-FI" w:bidi="fi-FI"/>
              </w:rPr>
              <w:t>Vähenee</w:t>
            </w:r>
          </w:p>
        </w:tc>
        <w:tc>
          <w:tcPr>
            <w:tcW w:w="1276" w:type="dxa"/>
            <w:shd w:val="clear" w:color="auto" w:fill="auto"/>
            <w:vAlign w:val="center"/>
          </w:tcPr>
          <w:p w14:paraId="26AC2658" w14:textId="77777777" w:rsidR="00A62EA1" w:rsidRPr="003A00A5" w:rsidRDefault="00A62EA1" w:rsidP="00430EC0">
            <w:pPr>
              <w:jc w:val="center"/>
              <w:rPr>
                <w:i/>
              </w:rPr>
            </w:pPr>
            <w:r w:rsidRPr="003A00A5">
              <w:rPr>
                <w:i/>
                <w:lang w:val="fi-FI" w:bidi="fi-FI"/>
              </w:rPr>
              <w:t>Muuttumaton</w:t>
            </w:r>
          </w:p>
        </w:tc>
        <w:tc>
          <w:tcPr>
            <w:tcW w:w="1276" w:type="dxa"/>
          </w:tcPr>
          <w:p w14:paraId="3547C42D" w14:textId="77777777" w:rsidR="00A62EA1" w:rsidRPr="003A00A5" w:rsidRDefault="00430EC0" w:rsidP="00430EC0">
            <w:pPr>
              <w:jc w:val="center"/>
              <w:rPr>
                <w:i/>
              </w:rPr>
            </w:pPr>
            <w:r>
              <w:rPr>
                <w:i/>
                <w:lang w:val="fi-FI" w:bidi="fi-FI"/>
              </w:rPr>
              <w:t>Muuttumaton</w:t>
            </w:r>
          </w:p>
        </w:tc>
      </w:tr>
      <w:tr w:rsidR="00A62EA1" w:rsidRPr="003A00A5" w14:paraId="20E2C889" w14:textId="77777777" w:rsidTr="00430EC0">
        <w:trPr>
          <w:cantSplit/>
          <w:trHeight w:val="20"/>
        </w:trPr>
        <w:tc>
          <w:tcPr>
            <w:tcW w:w="4349" w:type="dxa"/>
            <w:shd w:val="clear" w:color="auto" w:fill="auto"/>
            <w:vAlign w:val="center"/>
          </w:tcPr>
          <w:p w14:paraId="67F1720C" w14:textId="77777777" w:rsidR="00A62EA1" w:rsidRPr="003A00A5" w:rsidRDefault="00A62EA1" w:rsidP="003A00A5">
            <w:r w:rsidRPr="003A00A5">
              <w:rPr>
                <w:lang w:val="fi-FI" w:bidi="fi-FI"/>
              </w:rPr>
              <w:t>Kokopäiväisten työntekijöiden osuus (%)</w:t>
            </w:r>
          </w:p>
        </w:tc>
        <w:tc>
          <w:tcPr>
            <w:tcW w:w="1205" w:type="dxa"/>
            <w:shd w:val="clear" w:color="auto" w:fill="auto"/>
            <w:vAlign w:val="center"/>
          </w:tcPr>
          <w:p w14:paraId="34B11585" w14:textId="77777777" w:rsidR="00A62EA1" w:rsidRPr="00430EC0" w:rsidRDefault="00430EC0" w:rsidP="00430EC0">
            <w:pPr>
              <w:jc w:val="center"/>
            </w:pPr>
            <w:r w:rsidRPr="00430EC0">
              <w:rPr>
                <w:lang w:val="fi-FI" w:bidi="fi-FI"/>
              </w:rPr>
              <w:t>87</w:t>
            </w:r>
          </w:p>
        </w:tc>
        <w:tc>
          <w:tcPr>
            <w:tcW w:w="1250" w:type="dxa"/>
            <w:shd w:val="clear" w:color="auto" w:fill="auto"/>
            <w:vAlign w:val="center"/>
          </w:tcPr>
          <w:p w14:paraId="08935D05" w14:textId="77777777" w:rsidR="00A62EA1" w:rsidRPr="003A00A5" w:rsidRDefault="00A62EA1" w:rsidP="00430EC0">
            <w:pPr>
              <w:jc w:val="center"/>
              <w:rPr>
                <w:i/>
              </w:rPr>
            </w:pPr>
            <w:r w:rsidRPr="003A00A5">
              <w:rPr>
                <w:i/>
                <w:lang w:val="fi-FI" w:bidi="fi-FI"/>
              </w:rPr>
              <w:t>Lisääntyy</w:t>
            </w:r>
          </w:p>
        </w:tc>
        <w:tc>
          <w:tcPr>
            <w:tcW w:w="1276" w:type="dxa"/>
            <w:shd w:val="clear" w:color="auto" w:fill="auto"/>
            <w:vAlign w:val="center"/>
          </w:tcPr>
          <w:p w14:paraId="18644A28" w14:textId="77777777" w:rsidR="00A62EA1" w:rsidRPr="003A00A5" w:rsidRDefault="00A62EA1" w:rsidP="00430EC0">
            <w:pPr>
              <w:jc w:val="center"/>
              <w:rPr>
                <w:i/>
              </w:rPr>
            </w:pPr>
            <w:r w:rsidRPr="003A00A5">
              <w:rPr>
                <w:i/>
                <w:lang w:val="fi-FI" w:bidi="fi-FI"/>
              </w:rPr>
              <w:t>Lisääntyy</w:t>
            </w:r>
          </w:p>
        </w:tc>
        <w:tc>
          <w:tcPr>
            <w:tcW w:w="1276" w:type="dxa"/>
          </w:tcPr>
          <w:p w14:paraId="5A7DA2FE" w14:textId="77777777" w:rsidR="00A62EA1" w:rsidRPr="003A00A5" w:rsidRDefault="00430EC0" w:rsidP="00430EC0">
            <w:pPr>
              <w:jc w:val="center"/>
              <w:rPr>
                <w:i/>
              </w:rPr>
            </w:pPr>
            <w:r>
              <w:rPr>
                <w:i/>
                <w:lang w:val="fi-FI" w:bidi="fi-FI"/>
              </w:rPr>
              <w:t>Lisääntyy</w:t>
            </w:r>
          </w:p>
        </w:tc>
      </w:tr>
      <w:tr w:rsidR="00A62EA1" w:rsidRPr="003A00A5" w14:paraId="7E290830" w14:textId="77777777" w:rsidTr="00430EC0">
        <w:trPr>
          <w:cantSplit/>
          <w:trHeight w:val="20"/>
        </w:trPr>
        <w:tc>
          <w:tcPr>
            <w:tcW w:w="4349" w:type="dxa"/>
            <w:shd w:val="clear" w:color="auto" w:fill="auto"/>
            <w:vAlign w:val="center"/>
          </w:tcPr>
          <w:p w14:paraId="3733F694" w14:textId="77777777" w:rsidR="00A62EA1" w:rsidRPr="003A00A5" w:rsidRDefault="00A62EA1" w:rsidP="003A00A5">
            <w:r w:rsidRPr="003A00A5">
              <w:rPr>
                <w:lang w:val="fi-FI" w:bidi="fi-FI"/>
              </w:rPr>
              <w:t>Sairauspoissaolo (%)</w:t>
            </w:r>
          </w:p>
        </w:tc>
        <w:tc>
          <w:tcPr>
            <w:tcW w:w="1205" w:type="dxa"/>
            <w:shd w:val="clear" w:color="auto" w:fill="auto"/>
            <w:vAlign w:val="center"/>
          </w:tcPr>
          <w:p w14:paraId="5F875831" w14:textId="77777777" w:rsidR="00A62EA1" w:rsidRPr="00430EC0" w:rsidRDefault="00430EC0" w:rsidP="00430EC0">
            <w:pPr>
              <w:jc w:val="center"/>
            </w:pPr>
            <w:r w:rsidRPr="00430EC0">
              <w:rPr>
                <w:lang w:val="fi-FI" w:bidi="fi-FI"/>
              </w:rPr>
              <w:t>8,6</w:t>
            </w:r>
          </w:p>
        </w:tc>
        <w:tc>
          <w:tcPr>
            <w:tcW w:w="1250" w:type="dxa"/>
            <w:shd w:val="clear" w:color="auto" w:fill="auto"/>
            <w:vAlign w:val="center"/>
          </w:tcPr>
          <w:p w14:paraId="664F3421" w14:textId="77777777" w:rsidR="00A62EA1" w:rsidRPr="003A00A5" w:rsidRDefault="00A62EA1" w:rsidP="00430EC0">
            <w:pPr>
              <w:jc w:val="center"/>
              <w:rPr>
                <w:i/>
              </w:rPr>
            </w:pPr>
            <w:r w:rsidRPr="003A00A5">
              <w:rPr>
                <w:i/>
                <w:lang w:val="fi-FI" w:bidi="fi-FI"/>
              </w:rPr>
              <w:t>Vähenee</w:t>
            </w:r>
          </w:p>
        </w:tc>
        <w:tc>
          <w:tcPr>
            <w:tcW w:w="1276" w:type="dxa"/>
            <w:shd w:val="clear" w:color="auto" w:fill="auto"/>
            <w:vAlign w:val="center"/>
          </w:tcPr>
          <w:p w14:paraId="078FB826" w14:textId="77777777" w:rsidR="00A62EA1" w:rsidRPr="003A00A5" w:rsidRDefault="00A62EA1" w:rsidP="00430EC0">
            <w:pPr>
              <w:jc w:val="center"/>
              <w:rPr>
                <w:i/>
              </w:rPr>
            </w:pPr>
            <w:r w:rsidRPr="003A00A5">
              <w:rPr>
                <w:i/>
                <w:lang w:val="fi-FI" w:bidi="fi-FI"/>
              </w:rPr>
              <w:t>Vähenee</w:t>
            </w:r>
          </w:p>
        </w:tc>
        <w:tc>
          <w:tcPr>
            <w:tcW w:w="1276" w:type="dxa"/>
          </w:tcPr>
          <w:p w14:paraId="2F983B55" w14:textId="77777777" w:rsidR="00A62EA1" w:rsidRPr="003A00A5" w:rsidRDefault="00430EC0" w:rsidP="00430EC0">
            <w:pPr>
              <w:jc w:val="center"/>
              <w:rPr>
                <w:i/>
              </w:rPr>
            </w:pPr>
            <w:r>
              <w:rPr>
                <w:i/>
                <w:lang w:val="fi-FI" w:bidi="fi-FI"/>
              </w:rPr>
              <w:t>Vähenee</w:t>
            </w:r>
          </w:p>
        </w:tc>
      </w:tr>
    </w:tbl>
    <w:p w14:paraId="072C1140" w14:textId="77777777" w:rsidR="003A00A5" w:rsidRPr="003A00A5" w:rsidRDefault="003A00A5" w:rsidP="003A00A5">
      <w:r w:rsidRPr="003A00A5">
        <w:rPr>
          <w:lang w:val="fi-FI" w:bidi="fi-FI"/>
        </w:rPr>
        <w:t>*Viimeisin arvo viittaa vuoden 2020 vuositilinpäätöksen mukaisiin tuloksiin</w:t>
      </w:r>
    </w:p>
    <w:p w14:paraId="409E88CF" w14:textId="77777777" w:rsidR="003A00A5" w:rsidRPr="003A00A5" w:rsidRDefault="003A00A5" w:rsidP="003A00A5">
      <w:r w:rsidRPr="003A00A5">
        <w:rPr>
          <w:lang w:val="fi-FI" w:bidi="fi-FI"/>
        </w:rPr>
        <w:t>Vuosien 2022–2024 suunta-arvot saattavat muuttua, kun vuoden 2021 tulos on selvä.</w:t>
      </w:r>
    </w:p>
    <w:p w14:paraId="1CF34EC2" w14:textId="77777777" w:rsidR="00430EC0" w:rsidRDefault="00430EC0" w:rsidP="003A00A5"/>
    <w:p w14:paraId="3D212EFC" w14:textId="77777777" w:rsidR="003A00A5" w:rsidRPr="003A00A5" w:rsidRDefault="003A00A5" w:rsidP="003A00A5">
      <w:r w:rsidRPr="003A00A5">
        <w:rPr>
          <w:lang w:val="fi-FI" w:bidi="fi-FI"/>
        </w:rPr>
        <w:t>Aiheeseen liittyvät ohjelmat ja suunnitelmat:</w:t>
      </w:r>
    </w:p>
    <w:p w14:paraId="3D145077" w14:textId="77777777" w:rsidR="003A00A5" w:rsidRPr="003A00A5" w:rsidRDefault="003A00A5" w:rsidP="005420D3">
      <w:pPr>
        <w:numPr>
          <w:ilvl w:val="0"/>
          <w:numId w:val="12"/>
        </w:numPr>
      </w:pPr>
      <w:r w:rsidRPr="003A00A5">
        <w:rPr>
          <w:lang w:val="fi-FI" w:bidi="fi-FI"/>
        </w:rPr>
        <w:t>Osaamisen tarjontasuunnitelma 2022–2025</w:t>
      </w:r>
    </w:p>
    <w:p w14:paraId="4F5FB3AE" w14:textId="77777777" w:rsidR="003A00A5" w:rsidRPr="003A00A5" w:rsidRDefault="003A00A5" w:rsidP="005420D3">
      <w:pPr>
        <w:numPr>
          <w:ilvl w:val="0"/>
          <w:numId w:val="12"/>
        </w:numPr>
      </w:pPr>
      <w:r w:rsidRPr="003A00A5">
        <w:rPr>
          <w:lang w:val="fi-FI" w:bidi="fi-FI"/>
        </w:rPr>
        <w:t>Hankesuunnitelma paremmat työolot vanhustenhuollossa 2018–2022</w:t>
      </w:r>
    </w:p>
    <w:p w14:paraId="257CFADF" w14:textId="77777777" w:rsidR="004319B8" w:rsidRDefault="003A00A5" w:rsidP="005420D3">
      <w:pPr>
        <w:numPr>
          <w:ilvl w:val="0"/>
          <w:numId w:val="12"/>
        </w:numPr>
      </w:pPr>
      <w:r w:rsidRPr="003A00A5">
        <w:rPr>
          <w:lang w:val="fi-FI" w:bidi="fi-FI"/>
        </w:rPr>
        <w:t>Toimintasuunnitelma – kokopäivätyö vakioksi 2021-2024</w:t>
      </w:r>
    </w:p>
    <w:p w14:paraId="46B0FCA0" w14:textId="77777777" w:rsidR="004319B8" w:rsidRDefault="004319B8" w:rsidP="00F3402A">
      <w:pPr>
        <w:ind w:left="720"/>
      </w:pPr>
    </w:p>
    <w:p w14:paraId="0ED86822" w14:textId="77777777" w:rsidR="00160B17" w:rsidRDefault="00160B17">
      <w:pPr>
        <w:spacing w:line="180" w:lineRule="auto"/>
      </w:pPr>
      <w:r>
        <w:rPr>
          <w:lang w:val="fi-FI" w:bidi="fi-FI"/>
        </w:rPr>
        <w:br w:type="page"/>
      </w:r>
    </w:p>
    <w:p w14:paraId="1F1FAA4F" w14:textId="77777777" w:rsidR="00A37148" w:rsidRDefault="00A37148" w:rsidP="00F3402A">
      <w:pPr>
        <w:ind w:left="720"/>
      </w:pPr>
    </w:p>
    <w:p w14:paraId="1CD556E4" w14:textId="77777777" w:rsidR="003A00A5" w:rsidRPr="00746444" w:rsidRDefault="003A00A5" w:rsidP="00746444">
      <w:pPr>
        <w:pStyle w:val="Rubrik1Nr"/>
        <w:rPr>
          <w:color w:val="0D6FB5"/>
        </w:rPr>
      </w:pPr>
      <w:r w:rsidRPr="00746444">
        <w:rPr>
          <w:color w:val="0D6FB5"/>
          <w:lang w:val="fi-FI" w:bidi="fi-FI"/>
        </w:rPr>
        <w:t>Kohti kestävää Södertäljeä</w:t>
      </w:r>
    </w:p>
    <w:p w14:paraId="3F733987" w14:textId="77777777" w:rsidR="003A00A5" w:rsidRPr="00746444" w:rsidRDefault="003A00A5" w:rsidP="00746444">
      <w:pPr>
        <w:pStyle w:val="Rubrik2Nr"/>
        <w:rPr>
          <w:color w:val="0D6FB5"/>
        </w:rPr>
      </w:pPr>
      <w:r w:rsidRPr="00746444">
        <w:rPr>
          <w:color w:val="0D6FB5"/>
          <w:lang w:val="fi-FI" w:bidi="fi-FI"/>
        </w:rPr>
        <w:t>Lasten ja nuorten kasvuolot</w:t>
      </w:r>
    </w:p>
    <w:p w14:paraId="4272BB92" w14:textId="77777777" w:rsidR="00160B17" w:rsidRDefault="00160B17" w:rsidP="00160B17">
      <w:r>
        <w:rPr>
          <w:lang w:val="fi-FI" w:bidi="fi-FI"/>
        </w:rPr>
        <w:t>Södertäljen kunnan tulee olla hyvä paikka kasvaa. Lapset ja nuoret ovat jatkossakin ensisijainen painopistealueemme. Kaikilla kuntamme lapsilla on oltava hyvät ja tasavertaiset kasvuolot vanhempien taustasta, tuloista tai elämänvalinnoista riippumatta. Työ alkaa koulusta – tasavertainen koulutus ja hyvä opetus ovat paras tapa ehkäistä syrjäytymistä. Opetuksen laadun vahvistamiseksi rekrytoimalla lisää opettajia koululle osoitetaan 25 miljoonaa kruunua lisää.</w:t>
      </w:r>
    </w:p>
    <w:p w14:paraId="4692AD79" w14:textId="77777777" w:rsidR="00160B17" w:rsidRDefault="00160B17" w:rsidP="00160B17">
      <w:r>
        <w:rPr>
          <w:lang w:val="fi-FI" w:bidi="fi-FI"/>
        </w:rPr>
        <w:t>Työ koulutusmahdollisuuksien vahvistamiseksi Södertäljen kunnassa jatkuu. Tavoitteena on vahvistaa oppilaiden oppimistuloksia ja vähentää perhetaustan merkitystä koulumenestyksessä. Vahvistettuja resursseja käytetään opetuksen kehittämiseen. Esikoululuokan resurssien jakamista on tehostettu ja nyt tehdään lisää investointeja kouluun. Tässä yhteydessä ehdotetaan, että koululautakunta tarkastaa huolellisesti resurssien kohdentamismallin varmistaakseen, että kaikilla kouluilla on mahdollisimman tasavertaiset edellytykset opetustoiminnan harjoittamiseen. Lisää rahoja kohdennetaan neuropsykiatrisista vammoista kärsivien lasten parissa tehtävän työn parantamiseen sekä nuorten mielenterveysongelmien vähentämiseen. Lisärahoitusta kohdennetaan vahvistamaan keskiasteen oppilaitosten työtä neuropsykiatrisista vammoista kärsivien nuorten parissa.</w:t>
      </w:r>
    </w:p>
    <w:p w14:paraId="0415E835" w14:textId="77777777" w:rsidR="00160B17" w:rsidRDefault="00160B17" w:rsidP="00160B17">
      <w:r>
        <w:rPr>
          <w:lang w:val="fi-FI" w:bidi="fi-FI"/>
        </w:rPr>
        <w:t>Esikoululla on tärkeä tehtävä lasten kasvuolojen turvaamisessa. Viime vuosina esikouluopettajien määrä on lisääntynyt ja lapsiryhmien keskikoko on pienentynyt. Sitä työtä on jatkettava. Södertäljen kasvaessa ja lapsimäärän kasvaessa paikkojen määrää lisätään. Jotta lapsiryhmien koon kanssa olisi kohtuulliset edellytykset työskennellä, tarvitaan lisää paikkoja. Esikoulupaikkoihin panostetaan Glasbergassa, Östertäljessä, Brunnsängissä, Enhörnassa ja Kallforsissa.</w:t>
      </w:r>
    </w:p>
    <w:p w14:paraId="5779E649" w14:textId="77777777" w:rsidR="003A00A5" w:rsidRPr="003A00A5" w:rsidRDefault="00160B17" w:rsidP="00160B17">
      <w:r>
        <w:rPr>
          <w:lang w:val="fi-FI" w:bidi="fi-FI"/>
        </w:rPr>
        <w:t xml:space="preserve">Lasten leikkiympäristöjen tarkistus- ja kunnostustyöt ympäri kuntaa jatkuvat. Ympäristöjen on oltava turvallisia, terveellisiä ja kehittäviä lasten leikkejä varten. Vaaralliset kemikaalit on poistettava käytöstä. Lähituotetun ruoan ja luomuruoan osuus koulussa kasvaa kunnan ”Diet for a Green Planet” -konseptin mukaisesti.  </w:t>
      </w:r>
    </w:p>
    <w:p w14:paraId="7A845EB9" w14:textId="77777777" w:rsidR="00160B17" w:rsidRDefault="00160B17" w:rsidP="00160B17">
      <w:r>
        <w:rPr>
          <w:lang w:val="fi-FI" w:bidi="fi-FI"/>
        </w:rPr>
        <w:t>Kieli on avain tietoon, ja tehtäväämme antaa kaikille lapsille tasavertainen koulutus liittyy ruotsin kieleen liittyviä haasteita, sillä monet lapset kasvavat kodeissa, joissa he eivät saa riittävästi ruotsin kielen harjoitusta ja joissa yhä harvemmat vanhemmat lukevat lapsilleen. Kunnallamme on oltava kunnianhimoiset tavoitteet ja työhön on käytävä käsiksi selkein odotuksin ja asianmukaisella tuella. Yli viisivuotiaille lapsille suunnattu äidinkielen opetus on jatkossakin tärkeä seikka Södertäljen kunnan kouluissa. Nuoremmille lapsille on tarjottava hyvät edellytykset kehittyä äidinkielessään. Vahvistaaksemme työtä äidinkielenopetuksen parissa lisäämme resursseja yhteistyön kehittämiseen kotien kanssa.</w:t>
      </w:r>
    </w:p>
    <w:p w14:paraId="4332E81A" w14:textId="77777777" w:rsidR="00160B17" w:rsidRDefault="00160B17" w:rsidP="00160B17">
      <w:r>
        <w:rPr>
          <w:lang w:val="fi-FI" w:bidi="fi-FI"/>
        </w:rPr>
        <w:t xml:space="preserve">Esiopetuksessa ja peruskoulussa luodaan perusta oppimiselle ja tietämykselle. Oppilaiden tietoja käytetään sitten siihen, että mahdollisimman moni saa keskiasteen tutkinnon. Södertäljessä on sekä kunnallisia että yksityisiä keskiasteen oppilaitoksia, jotka tarjoavat yhdessä vahvan valikoiman keskiasteen koulutuksia verrattuna muihin Tukholman alueen keskiasteen oppilaitoksiin Tukholman kaupungin ulkopuolella. Koululautakunnan toimeksiannosta tehdyn ohjelmatarjonnan tarkastelun jälkeen Södertäljen kunta jatkaa vahvan ja monipuolisen keskiasteen koulutustarjonnan tarjoamista, jossa pyritään hyvään yhteistyöhön </w:t>
      </w:r>
      <w:r>
        <w:rPr>
          <w:lang w:val="fi-FI" w:bidi="fi-FI"/>
        </w:rPr>
        <w:lastRenderedPageBreak/>
        <w:t>yrityssektorin, yhdistysten, muiden laitosten ja lähikuntien kanssa. Vuoden aikana tarjontaa laajennettiin lapsi- ja vapaa-ajanohjelmalla. Suunnittelu on käynnissä esteettisen ohjelman laajentamiseksi sekä tarjonnan ja houkuttelevuuden lisäämiseksi. Sijoitusrahoja on varattu, jotta Foucaultgymnasiet voisi muuttaa parempiin mukautettuihin tiloihin.</w:t>
      </w:r>
    </w:p>
    <w:p w14:paraId="12FF01E4" w14:textId="77777777" w:rsidR="00160B17" w:rsidRDefault="00160B17" w:rsidP="00160B17">
      <w:bookmarkStart w:id="2" w:name="_Hlk54194291"/>
      <w:r>
        <w:rPr>
          <w:lang w:val="fi-FI" w:bidi="fi-FI"/>
        </w:rPr>
        <w:t>Södertäljen kasvaessa myös koulutiloja on kehitettävä. Kunta tekee tilakustannusten ja tilojen käytön selvityksen, jotta jo olemassa olevat tilat hyödynnetään parhaalla mahdollisella tavalla. Uusiin tiloihin, kuten Enhörnan uuteen kouluun, Soldalaskolanin peruskorjaukseen sekä uusiin keittiöihin Pershagenskolanissa ja Wasaskolanissa investoidaan.</w:t>
      </w:r>
    </w:p>
    <w:p w14:paraId="5BF85680" w14:textId="77777777" w:rsidR="00160B17" w:rsidRDefault="00160B17" w:rsidP="00160B17">
      <w:r>
        <w:rPr>
          <w:lang w:val="fi-FI" w:bidi="fi-FI"/>
        </w:rPr>
        <w:t>Osana laajempaa turvallisuusinvestointia lisätään varoja koulun pihojen turvallisuuden parantamiseen esimerkiksi valaistuksen ja turvakameroiden avulla. Myös kouluteistä ja koulujen ympäristön liikennetilanteesta on tehtävä turvallisempia.</w:t>
      </w:r>
    </w:p>
    <w:p w14:paraId="611B6210" w14:textId="77777777" w:rsidR="00160B17" w:rsidRDefault="00160B17" w:rsidP="00160B17">
      <w:r>
        <w:rPr>
          <w:lang w:val="fi-FI" w:bidi="fi-FI"/>
        </w:rPr>
        <w:t>Södertäljen kunnan tulee olla turvallinen ja hyvä paikka lapsillemme ja nuorillemme myös kouluympäristön ulkopuolella. Kunnan vapaa-ajankeskusten kehittäminen jatkuu ja niiden tulee olla houkuttelevia ympäristöjä, joihin jokainen tuntee olevansa tervetullut. Kauan odotettu investointi on uusi vapaa-ajankeskus Bårstassa. Sekä koulussa että vapaa-ajankeskuksissa tulee olla selkeä tasa-arvonäkökulma. Nuorille on tärkeää tarjota osallistava, tasa-arvoinen ja normikriittinen perusta. Kunta tukee jatkossakin Tjejhuset-tapaamispaikkaa.</w:t>
      </w:r>
    </w:p>
    <w:p w14:paraId="728DD96D" w14:textId="77777777" w:rsidR="00A37148" w:rsidRPr="00A37148" w:rsidRDefault="00160B17" w:rsidP="00160B17">
      <w:r>
        <w:rPr>
          <w:lang w:val="fi-FI" w:bidi="fi-FI"/>
        </w:rPr>
        <w:t>Osa lasten ja nuorten terveyden ennaltaehkäisevää työtä ovat perhekeskukset, joissa äitien ja lasten terveydenhuolto, avoin esikoulu ja sosiaalipalvelut sijaitsevat rinnakkain. Tavoitteena on ennaltaehkäistä sairauksia mahdollisimman varhaisella tuella ja samalla tukea vanhempia ja lapsia heidän elämäntilanteessaan. Genetassa toimii nykyään perhekeskus, ja varainhoitokauden aikana avataan toinen perhekeskus Hovsjössä.</w:t>
      </w:r>
    </w:p>
    <w:p w14:paraId="46DB0DBA" w14:textId="77777777" w:rsidR="003A00A5" w:rsidRPr="00746444" w:rsidRDefault="003A00A5" w:rsidP="00746444">
      <w:pPr>
        <w:pStyle w:val="Rubrik2Nr"/>
        <w:rPr>
          <w:color w:val="0D6FB5"/>
        </w:rPr>
      </w:pPr>
      <w:r w:rsidRPr="00746444">
        <w:rPr>
          <w:color w:val="0D6FB5"/>
          <w:lang w:val="fi-FI" w:bidi="fi-FI"/>
        </w:rPr>
        <w:t>Hoito, johon voi luottaa, kun elämä muuttuu</w:t>
      </w:r>
    </w:p>
    <w:p w14:paraId="5CAA7E65" w14:textId="77777777" w:rsidR="00C4740A" w:rsidRDefault="00C4740A" w:rsidP="00C4740A">
      <w:r>
        <w:rPr>
          <w:lang w:val="fi-FI" w:bidi="fi-FI"/>
        </w:rPr>
        <w:t>Yksi kunnan tärkeimmistä tehtävistä jatkossa on jatkaa hyvinvoinnin kehittämistä vanhustenhuoltoon keskittyen. Vanhusten uudet asunnot ja panostukset sekä palvelujen käyttäjien että henkilökunnan hyvinvoinnin lisäämiseksi ovat olennaisia tekijöitä. Södertäljen tulee olla turvallinen kunta ikääntyä. Vanhuusiässä kenenkään ei pitäisi joutua olemaan huolissaan asumisestaan tai jäädä ilman tarvitsemaansa apua riippumatta siitä, valitsevatko vanhukset kodin tai muun asumismuodon. Vaihtoehtoisia asumismuotoja tarvitaan lisää, esimerkiksi senioritaloja ja turva-asuntoja sekä vanhusten palveluasuntoja. Aktiivisuutta ja sitoutumista on hyödynnettävä yhteiskunnassa niin kauan kuin vanhukset jaksavat, voivat ja haluavat. Vanhustenhuoltoa tulee leimata järjestys ja selkeä yhteiskuntavastuu.</w:t>
      </w:r>
    </w:p>
    <w:p w14:paraId="13BFE321" w14:textId="77777777" w:rsidR="00C4740A" w:rsidRDefault="00C4740A" w:rsidP="00C4740A">
      <w:r>
        <w:rPr>
          <w:lang w:val="fi-FI" w:bidi="fi-FI"/>
        </w:rPr>
        <w:t>Kunnan hoitolaitosten paikkamääriä tulee lisätä. Linan hoitolaitoksen parissa tehtävä työ jatkuu. Työ uusien asumismuotojen tarjoamiseksi vanhuksille jatkuu.</w:t>
      </w:r>
    </w:p>
    <w:p w14:paraId="437914D2" w14:textId="77777777" w:rsidR="00C4740A" w:rsidRDefault="00C4740A" w:rsidP="00C4740A">
      <w:r>
        <w:rPr>
          <w:lang w:val="fi-FI" w:bidi="fi-FI"/>
        </w:rPr>
        <w:t>Toiminnan laatu ja ammattitaito on varmistettava riippumatta siitä, onko kyseessä ulkopuolinen tai kunnan oma toimija. Suhtaudumme myönteisesti siihen, että Södertäljen kunnan vanhustenhuollossa on enemmän ulkopuolisia toimijoita, jotka täydentävät kunnan omaa toimintaa. Turvallisen ja laadukkaan vanhustenhuollon rakentamisen jatkamiseksi olemme myös päättäneet poistaa vanhustenhuoltolautakunnan yleisen tehokkuusvaatimuksen ja vahvistaa vanhustenhuollon perushenkilöstöä.</w:t>
      </w:r>
    </w:p>
    <w:p w14:paraId="1720A019" w14:textId="77777777" w:rsidR="00C4740A" w:rsidRDefault="00C4740A" w:rsidP="00C4740A">
      <w:r>
        <w:rPr>
          <w:lang w:val="fi-FI" w:bidi="fi-FI"/>
        </w:rPr>
        <w:t xml:space="preserve">Liian monet vanhukset kärsivät yksinäisyydestä tai masennuksesta ja muista mielenterveysongelmista. Ennaltaehkäisevää työtä on vahvistettava ja vanhusten tapaamispaikkoja, kulttuurielämyksiä ja muuta vanhuksille suunnattua toimintaa on kehitettävä. Voittoa tavoittelemattomilla toimijoilla on tärkeä tehtävä ja niitä on hyödynnettävä. Kunnan </w:t>
      </w:r>
      <w:r>
        <w:rPr>
          <w:lang w:val="fi-FI" w:bidi="fi-FI"/>
        </w:rPr>
        <w:lastRenderedPageBreak/>
        <w:t>Kultur365-hanke jatkaa sitoutumisen ja ilon levittämistä vanhusten keskuudessa ja se on jatkossakin tärkeä toiminta.</w:t>
      </w:r>
    </w:p>
    <w:p w14:paraId="59AA9075" w14:textId="77777777" w:rsidR="00C4740A" w:rsidRDefault="00C4740A" w:rsidP="00C4740A">
      <w:r>
        <w:rPr>
          <w:lang w:val="fi-FI" w:bidi="fi-FI"/>
        </w:rPr>
        <w:t>Hyvässä ateriassa on kyse sekä kokemuksesta että ruoanlaitosta ja raaka-aineista. Me Södertäljen kunnassa olemme päässeet pitkälle työssä hyvään ja kestävällä tavalla tuotettuun ruokaan liittyen. Tätä työtä on tärkeää kehittää edelleen Södertäljen vanhusten hyväksi. Ruoan tulee olla kunnan vanhainkodeissa mahdollisimman lähellä käyttäjää valmistettua, herkullista ja ravitsevaa. Sekä lähituotettujen elintarvikkeiden että luomuraaka-aineiden osuus kasvaa.</w:t>
      </w:r>
    </w:p>
    <w:p w14:paraId="7F74CD3D" w14:textId="77777777" w:rsidR="003A00A5" w:rsidRPr="003A00A5" w:rsidRDefault="00C4740A" w:rsidP="00C4740A">
      <w:r>
        <w:rPr>
          <w:lang w:val="fi-FI" w:bidi="fi-FI"/>
        </w:rPr>
        <w:t>Henkilökunta on vanhustenhuollon tärkein voimavara.  Vuonna 2018 nimitettiin ohjausryhmä, joka kehittää ja työstää pitkäjänteisesti ja jäsennellysti henkilöstön työoloja esimerkiksi lisäämällä perushenkilöstöä ja palveluiden käyttöaikaa. Muita tärkeitä hankkeita ovat työ vahvemman johtajuuden ja tehokkaamman aikataulutuksen puolesta. Salutogeeninen lähestymistapa, jonka pohjana ovat terveyttä edistävät terveystekijät riskitekijöiden sijaan, näkyy nyt kaikessa Södertäljen vanhustenhuollossa.</w:t>
      </w:r>
    </w:p>
    <w:p w14:paraId="3EF29D37" w14:textId="77777777" w:rsidR="00C4740A" w:rsidRDefault="00C4740A" w:rsidP="00C4740A">
      <w:r>
        <w:rPr>
          <w:lang w:val="fi-FI" w:bidi="fi-FI"/>
        </w:rPr>
        <w:t>Vanhustenhuollossa näemme, kuinka työntekijät joutuvat oman tärkeän työnsä ohella liiaksi myös auttamisvastuuseen, kun työtovereiden ruotsin kieli on puutteellinen. Kunnan on löydettävä keinoja ottaa suurempaa vastuuta siitä, että se voi ottaa palvelukseensa puutteellisesti ruotsin kieltä osaavaa henkilöstöä ja samalla taata, että työntekijöillä ei ole päävastuu kollegoidensa kielitaidon kehittämisestä.</w:t>
      </w:r>
    </w:p>
    <w:p w14:paraId="7C860ACA" w14:textId="77777777" w:rsidR="00C4740A" w:rsidRDefault="00C4740A" w:rsidP="00C4740A">
      <w:r>
        <w:rPr>
          <w:lang w:val="fi-FI" w:bidi="fi-FI"/>
        </w:rPr>
        <w:t xml:space="preserve">Tärkeä osa kunnan tehtävää on varmistaa, että kaikki kuntalaiset saavat tarvitsemansa tuen, johon heillä on oikeus. Kaikilla tulee – mahdollisuuksien mukaan – olla oikeus saada käyttöönsä kaupunki, kulttuuri- ja vapaa-ajan elämykset, työ ja asunto. </w:t>
      </w:r>
    </w:p>
    <w:p w14:paraId="3D58CFFC" w14:textId="77777777" w:rsidR="00C4740A" w:rsidRDefault="00C4740A" w:rsidP="00C4740A">
      <w:r>
        <w:rPr>
          <w:lang w:val="fi-FI" w:bidi="fi-FI"/>
        </w:rPr>
        <w:t xml:space="preserve">Vahvan turvaverkon perusta on hyvin toimiva organisaatio päätöksenteon ohjauksen ja päätösten käsittelyn ympärillä. Kaikkien vammaisten henkilöiden tulee tuen avulla pystyä elämään mahdollisimman itsenäistä elämää omien edellytystensä perusteella. Toimintarajoitteisten uusi ryhmäasunto valmistuu vuonna 2022. Kunnassa on suuri määrä aatteellisia yrityksiä, jotka työskentelevät vammaisten parissa. On tärkeää, että kunnalla on hyvä yhteistyö näiden kanssa, jotta palveluiden käyttäjät hyötyvät osaamisesta ja kokemuksesta.  </w:t>
      </w:r>
    </w:p>
    <w:p w14:paraId="132FBFE8" w14:textId="77777777" w:rsidR="00C4740A" w:rsidRDefault="00C4740A" w:rsidP="00C4740A">
      <w:r>
        <w:rPr>
          <w:lang w:val="fi-FI" w:bidi="fi-FI"/>
        </w:rPr>
        <w:t>Sosiaalityö, esimerkiksi päihdeongelmaisten osalta, on edelleen tärkeä, samoin kuin itsemurhien ehkäisytyö.</w:t>
      </w:r>
    </w:p>
    <w:p w14:paraId="29E1D417" w14:textId="77777777" w:rsidR="003A00A5" w:rsidRPr="00A37148" w:rsidRDefault="003A00A5" w:rsidP="003A00A5">
      <w:r w:rsidRPr="003A00A5">
        <w:rPr>
          <w:lang w:val="fi-FI" w:bidi="fi-FI"/>
        </w:rPr>
        <w:t xml:space="preserve"> </w:t>
      </w:r>
    </w:p>
    <w:p w14:paraId="579241A8" w14:textId="77777777" w:rsidR="003A00A5" w:rsidRPr="00746444" w:rsidRDefault="003A00A5" w:rsidP="00746444">
      <w:pPr>
        <w:pStyle w:val="Rubrik2Nr"/>
        <w:rPr>
          <w:color w:val="0D6FB5"/>
        </w:rPr>
      </w:pPr>
      <w:r w:rsidRPr="00746444">
        <w:rPr>
          <w:color w:val="0D6FB5"/>
          <w:lang w:val="fi-FI" w:bidi="fi-FI"/>
        </w:rPr>
        <w:t>Turvallisuutta kaikille asukkaille</w:t>
      </w:r>
    </w:p>
    <w:p w14:paraId="20EDB8ED" w14:textId="77777777" w:rsidR="00B035FC" w:rsidRDefault="00B035FC" w:rsidP="00B035FC">
      <w:r>
        <w:rPr>
          <w:lang w:val="fi-FI" w:bidi="fi-FI"/>
        </w:rPr>
        <w:t>Södertäljen tulee olla turvallinen kunta kaikille asukkaille. Turvallisuus on monitahoista ja voi tarkoittaa kaikkea siitä, että uskaltaa liikkua iltaisin ulkona pelkäämättä siihen, ettei joudu syrjityksi tai siihen, että sosiaalihuolto auttaa silloin, kun elämän olosuhteet sitä vaativat. Turvallisuus tarkoittaa myös sitä, että yhteiskunnalliset järjestelmät ovat riittävän vahvoja kestämään vakavaa järjestäytynyttä rikollisuutta ja toimimaan ennaltaehkäisevästi.</w:t>
      </w:r>
    </w:p>
    <w:p w14:paraId="5ADC2F57" w14:textId="77777777" w:rsidR="003A00A5" w:rsidRPr="003A00A5" w:rsidRDefault="00B035FC" w:rsidP="00B035FC">
      <w:r>
        <w:rPr>
          <w:lang w:val="fi-FI" w:bidi="fi-FI"/>
        </w:rPr>
        <w:t xml:space="preserve">Södertäljen kunnassa on useita niin sanottuja erityisen haavoittuvia alueita, joita poliisi painottaa vakavan järjestäytyneen rikollisuuden vastaisessa työssään. Vakavan järjestäytyneen rikollisuuden vastainen työ on jatkunut hieman yli kymmenen vuotta ja jatkuu edelleen. Tämän päivän Södertäljen tunnelmassa on suuri ero kymmenen vuoden takaiseen. Työtä on kuitenkin vielä tehtävä. </w:t>
      </w:r>
    </w:p>
    <w:p w14:paraId="4C11153D" w14:textId="77777777" w:rsidR="004634A3" w:rsidRDefault="004634A3" w:rsidP="003A00A5">
      <w:r w:rsidRPr="004634A3">
        <w:rPr>
          <w:lang w:val="fi-FI" w:bidi="fi-FI"/>
        </w:rPr>
        <w:t xml:space="preserve">Södertäljen kunta on tehnyt hyvää ja laajaa yhteistyötä poliisin kanssa yli vuosikymmenen ajan ja arvostamme tätä suuresti. Kyseessä on esimerkiksi turvallisuutta luova työ </w:t>
      </w:r>
      <w:r w:rsidRPr="004634A3">
        <w:rPr>
          <w:lang w:val="fi-FI" w:bidi="fi-FI"/>
        </w:rPr>
        <w:lastRenderedPageBreak/>
        <w:t>kaupunginosissamme, hyvinvointivaltion rikollisuuden vastainen työ ja ennaltaehkäisevät toimet rikollisuuden pariin ajautuvien nuorten tunnistamiseksi. Paikallispoliisin aluepäällikkö kutsutaan jokaiseen kunnanhallituksen kokoukseen ja hän osallistuu niihin aina. Vuonna 2022 yhteistyöhön lisätään budjettivaroja. On laadittava raportti siitä, miltä onnistunut yhteistyö näyttää ja mitä siitä on opittu.</w:t>
      </w:r>
    </w:p>
    <w:p w14:paraId="4668AFEF" w14:textId="77777777" w:rsidR="004634A3" w:rsidRDefault="004634A3" w:rsidP="003A00A5">
      <w:r w:rsidRPr="004634A3">
        <w:rPr>
          <w:lang w:val="fi-FI" w:bidi="fi-FI"/>
        </w:rPr>
        <w:t>Vakaa talous ja positiivinen tulos vuonna 2020 ovat mahdollistaneet merkittävät investoinnit turvallisempaan, kestävämpään ja helpommin saavutettavissa olevaan Södertäljeen vuosina 2021 ja 2022. Työtä vahvistetaan entisestään osoittamalla varoja esimerkiksi ennaltaehkäiseviin toimenpiteisiin ja rikollisuuden torjunnan vahvistamiseen Södertäljessä.</w:t>
      </w:r>
    </w:p>
    <w:p w14:paraId="39323772" w14:textId="77777777" w:rsidR="004634A3" w:rsidRDefault="004634A3" w:rsidP="004634A3">
      <w:r>
        <w:rPr>
          <w:lang w:val="fi-FI" w:bidi="fi-FI"/>
        </w:rPr>
        <w:t>Södertäljen kunta on keskellä pitkäjänteistä työtä vakavan järjestäytyneen rikollisuuden vaikeuttamiseksi kunnan vastuulla olevien toimintojen pohjalta. Kaikki työntekijämme on koulutettava havaitsemaan esimerkiksi sopimaton vaikuttaminen, salassapitokulttuuri tai petokset koskien avustuksia ja päätöksiä. Yhteistyötä kuntaorganisaation eri osissa ja muiden viranomaisten kanssa, mukaan lukien tärkeä yhteistyö poliisin kanssa, syvennetään PAX-nimisen työn kautta. Se mahdollistaa organisaation, jolla on voimaa kestää hyökkäyksiä yhteisiä turvajärjestelmiämme vastaan.</w:t>
      </w:r>
    </w:p>
    <w:p w14:paraId="5685DF2A" w14:textId="77777777" w:rsidR="003A00A5" w:rsidRPr="003A00A5" w:rsidRDefault="004634A3" w:rsidP="004634A3">
      <w:r>
        <w:rPr>
          <w:lang w:val="fi-FI" w:bidi="fi-FI"/>
        </w:rPr>
        <w:t>Meillä on jo usean vuoden ajan ollut maanjakopolitiikka, jonka tarkoituksena on estää vakavaa järjestäytynyttä rikollisuutta ostamasta kunnalta kiinteistöjä rahanpesutarkoituksessa tai vuokraamasta asuntoja laittomilla asuntomarkkinoilla. Järjestyksen kautta voimme torjua tätä suurta ongelmaa.</w:t>
      </w:r>
    </w:p>
    <w:bookmarkEnd w:id="2"/>
    <w:p w14:paraId="68CF246C" w14:textId="77777777" w:rsidR="004634A3" w:rsidRDefault="004634A3" w:rsidP="004634A3">
      <w:r>
        <w:rPr>
          <w:lang w:val="fi-FI" w:bidi="fi-FI"/>
        </w:rPr>
        <w:t>Turvallisuus tarkoittaa myös sitä, että kunnan tulee kehittää olosuhteita kaikille iästä, sukupuolesta, transsukupuolisesta identiteetistä tai ilmaisusta, seksuaalisesta suuntautumisesta, vammaisuudesta, etnisestä taustasta, uskonnosta tai muusta vakaumuksesta riippumatta. Siksi jatkamme tasa-arvotyötä, jota tehdään kunnan kaikissa toiminnoissa. HBTQI-henkilöt ovat erityisen haavoittuva ryhmä ja on tärkeää, että kaikkea kunnan toimintaa kehitetään osallistavammaksi. Lähisuhdeväkivallan vastainen työ jatkuu tiiviimmällä yhteistyöllä poliisin kanssa sekä tilainvestoinneilla.</w:t>
      </w:r>
    </w:p>
    <w:p w14:paraId="6DB53F17" w14:textId="77777777" w:rsidR="004634A3" w:rsidRDefault="004634A3" w:rsidP="004634A3">
      <w:r>
        <w:rPr>
          <w:lang w:val="fi-FI" w:bidi="fi-FI"/>
        </w:rPr>
        <w:t>Selvitys kunniaan liittyvien rajoitusten vaikutuksista ihmisten elämään on alkanut ja sen odotetaan valmistuvan vuoden 2022 aikana. Södertäljen kunta työskentelee perusteellisesti kunniaan liittyvien rakenteiden ennaltaehkäisemiseksi ja rikkomiseksi sekä kunnan omien toimintojen kautta että yhteistyössä muiden toimijoiden kanssa. Kunta on Södertäljen tukipalveluiden merkittävä rahoittaja ja jatkamme yhteistyömuotojen syventämistä ja kehittämistä.</w:t>
      </w:r>
    </w:p>
    <w:p w14:paraId="5D4238DC" w14:textId="77777777" w:rsidR="003A00A5" w:rsidRPr="003A00A5" w:rsidRDefault="004634A3" w:rsidP="004634A3">
      <w:r>
        <w:rPr>
          <w:lang w:val="fi-FI" w:bidi="fi-FI"/>
        </w:rPr>
        <w:t>Työ sen varmistamiseksi, että koko Södertälje on puhdas, siisti ja turvallinen, on tärkeä. Aiemmin sovittuja painopistealueita, kuten roskien kaatamisen paljastamista ja estämistä kierrätysasemien ympäristössä ja luonnossa jatketaan. Tietoa kierrätyksestä ja siitä, miten yksityishenkilöt ja yritykset käsittelevät jätteitään oikein, annetaan jatkuvasti, samoin kuin roskaamisen torjuntaan liittyvistä toimista keskustassa kiinnittäen erityistä huomiota tupakantumppeihin. Ylimääräisiä varoja lisätään kaatopaikkajätteen ja rutiininomaisen ja laajamittaisen luvattoman maankäytön torjuntaan.</w:t>
      </w:r>
    </w:p>
    <w:p w14:paraId="508C3227" w14:textId="77777777" w:rsidR="003A00A5" w:rsidRPr="00746444" w:rsidRDefault="00D60A84" w:rsidP="00746444">
      <w:pPr>
        <w:pStyle w:val="Rubrik2Nr"/>
        <w:rPr>
          <w:color w:val="0D6FB5"/>
        </w:rPr>
      </w:pPr>
      <w:r>
        <w:rPr>
          <w:color w:val="0D6FB5"/>
          <w:lang w:val="fi-FI" w:bidi="fi-FI"/>
        </w:rPr>
        <w:t>Erottelu ja integraatio</w:t>
      </w:r>
    </w:p>
    <w:p w14:paraId="2D6CE107" w14:textId="77777777" w:rsidR="00D14529" w:rsidRDefault="00D14529" w:rsidP="00D14529">
      <w:r>
        <w:rPr>
          <w:lang w:val="fi-FI" w:bidi="fi-FI"/>
        </w:rPr>
        <w:t xml:space="preserve">Södertäljen kunta ei luo erottelua, mutta käsittelemme sen vaikutuksia monissa toiminnoissamme. Tärkeintä on, että koulu voi tarjota laadukasta opetusta kaikille lapsille ja nuorille, jotta he voivat tehdä omat vakaat elämänvalintansa tulevaisuutta varten. Se on tärkein </w:t>
      </w:r>
      <w:r>
        <w:rPr>
          <w:lang w:val="fi-FI" w:bidi="fi-FI"/>
        </w:rPr>
        <w:lastRenderedPageBreak/>
        <w:t>prioriteettimme. Genetan perhekeskus on myös tärkeä paikka, jossa perheet voivat saada tukea tapaamisissa kunnan ja alueen kanssa. Hovsjöhön avataan toinen perhekeskus.</w:t>
      </w:r>
    </w:p>
    <w:p w14:paraId="4501A1BC" w14:textId="77777777" w:rsidR="00D14529" w:rsidRDefault="00D14529" w:rsidP="00D14529">
      <w:r>
        <w:rPr>
          <w:lang w:val="fi-FI" w:bidi="fi-FI"/>
        </w:rPr>
        <w:t xml:space="preserve">Jokaisella kuntalaisella tulee olla hyvät elinolot ja mahdollisuus hyvään sijoittautumiseen. Södertäljessä pakolaisten vastaanotto on ollut erittäin vilkasta useiden vuosien ajan ja se on muodostanut suuren osan kunnan väestönkasvua. Irakin sodan ja Syyrian sodan aikana otimme vastaan enemmän pakolaisia asukasta kohden kuin mikään muu paikkakunta Ruotsissa. Kaikki kuntaamme turvapaikanhakijoiksi tulleet ovat valinneet asuntonsa itse, eikä kunta ole näin ollen kyennyt valvomaan, että he ovat saaneet asianmukaisen majoituksen. Liian monet ovat päätyneet laittomiin vuokrasopimuksiin yhdelle Södertäljen eristyneimmistä asuinalueista. Tämä usein epävarma tapa aloittaa elämä Ruotsissa on vaikeuttanut ruotsin kielen oppimista ja ajan mittaan työllistymistä. Siksi olemme EBO-lain kumoamisen puolesta. </w:t>
      </w:r>
    </w:p>
    <w:p w14:paraId="6AA67B1E" w14:textId="77777777" w:rsidR="00D14529" w:rsidRDefault="00D14529" w:rsidP="00D14529">
      <w:r>
        <w:rPr>
          <w:lang w:val="fi-FI" w:bidi="fi-FI"/>
        </w:rPr>
        <w:t>Södertäljellä on pitkä historia työvoiman maahanmuutosta, mikä on ollut tärkeää suurille yrityksillemme. Nykyään yhä suuremmaksi ongelmaksi on muodostumassa se, että työluvan saaneilla voi olla epäselvät työolot, ja häikäilemättömät toimijat käyttävät heitä hyväkseen ja he joutuvat asumaan eristyneissä ympäristöissä. Södertäljen kunta tekee yhteistyötä Ruotsin veroviranomaisen ja Göteborgin kunnan kanssa laittoman alivuokraamisen vastaisessa kansallisessa hankkeessa. Teemme myös yhteistyötä viiden muun kunnan, poliisin ja Ruotsin veroviranomaisen kanssa vakavaan järjestäytyneeseen rikollisuuteen liittyvässä laittomassa alivuokraamisessa.</w:t>
      </w:r>
    </w:p>
    <w:p w14:paraId="0FCE153A" w14:textId="77777777" w:rsidR="00D14529" w:rsidRDefault="00D14529" w:rsidP="00D14529">
      <w:r>
        <w:rPr>
          <w:lang w:val="fi-FI" w:bidi="fi-FI"/>
        </w:rPr>
        <w:t xml:space="preserve">Mahdollisuus saada työtä on tärkeä osa sijoittumista. Ihmisten työllistäminen ei ole kunnan vastuulla, mutta mahdollisuus omavaraisuuteen hyödyttää kuntaa ja jokaista asukasta. Kuntayhtiö Telge Tillväxt jatkaa ja laajentaa työtä pitkäaikaistyöttömien ulkomaalaisten naisten saamiseksi työelämään tai opintojen pariin. Toinen tärkeä tekijä pitkäaikaistyöttömyyden murtamisessa on hyvin toimiva aikuiskoulutus. Yhteistyö työvoimaviranomaisen kanssa on edelleen tärkeä työttömyyden vähentämiseksi kunnassa pitkällä aikavälillä. Ruotsin työvoimaviranomaisen uudessa organisaatiossa myös yhteistyö yksityisten alihankkijoiden kanssa on tärkeä seikka. </w:t>
      </w:r>
    </w:p>
    <w:p w14:paraId="7011180D" w14:textId="77777777" w:rsidR="003A00A5" w:rsidRPr="003A00A5" w:rsidRDefault="00D14529" w:rsidP="00D14529">
      <w:r>
        <w:rPr>
          <w:lang w:val="fi-FI" w:bidi="fi-FI"/>
        </w:rPr>
        <w:t>Hyvä integraatio edellyttää, että koko yhteiskunta on vahva. Haasteet ovat suuria, mutta kohtaamme kaikki vaikeudet – muuta vaihtoehtoa ei ole.</w:t>
      </w:r>
    </w:p>
    <w:p w14:paraId="5AD49D96" w14:textId="77777777" w:rsidR="003A00A5" w:rsidRPr="00746444" w:rsidRDefault="003A00A5" w:rsidP="00746444">
      <w:pPr>
        <w:pStyle w:val="Rubrik2Nr"/>
        <w:rPr>
          <w:color w:val="0D6FB5"/>
        </w:rPr>
      </w:pPr>
      <w:r w:rsidRPr="00746444">
        <w:rPr>
          <w:color w:val="0D6FB5"/>
          <w:lang w:val="fi-FI" w:bidi="fi-FI"/>
        </w:rPr>
        <w:t>Ilmasto ja ympäristö</w:t>
      </w:r>
    </w:p>
    <w:p w14:paraId="29AE6EDE" w14:textId="77777777" w:rsidR="00D14529" w:rsidRDefault="00D14529" w:rsidP="00D14529">
      <w:r>
        <w:rPr>
          <w:lang w:val="fi-FI" w:bidi="fi-FI"/>
        </w:rPr>
        <w:t xml:space="preserve">Ilmastonmuutos ja biologisen monimuotoisuuden heikkeneminen uhkaavat kestävää kehitystä ja huolestuttavat monia ihmisiä. Seuraukset ovat merkittäviä tulevien sukupolvien terveydelle ja selviytymiselle. Siksi suunnataan aiempaa enemmän varoja kunnan ilmasto- ja ympäristötyön vauhdittamiseen YK:n vuoden 2030 kestävän kehityksen tavoitteiden ja Ruotsin kansallisten ympäristötavoitteiden saavuttamiseksi. Tämä voi koskea sekä toimintaa että strategisen ympäristö- ja ilmastotyön vahvistamista uuden, vuosiin 2022-2030 perustuvan ympäristö- ja ilmastostrategian pohjalta. Kaikissa kunnan toiminnoissa tulee lisätä panostuksia asetettujen ilmasto- ja ympäristötavoitteiden saavuttamiseksi, mukaan lukien hankinnoissa ja tavanomaisessa toiminnassa. </w:t>
      </w:r>
    </w:p>
    <w:p w14:paraId="23DFF94A" w14:textId="77777777" w:rsidR="00D14529" w:rsidRDefault="00D14529" w:rsidP="00D14529">
      <w:r>
        <w:rPr>
          <w:lang w:val="fi-FI" w:bidi="fi-FI"/>
        </w:rPr>
        <w:t xml:space="preserve">Työ muovin käytön vähentämiseksi kaikissa toiminnoissa jatkuu osana fossiilittoman kunnan tavoitteen saavuttamista. Yhteistyö yritysten ja muiden toimijoiden kanssa ilmastotavoitteiden saavuttamiseksi vaikeutui pandemian vuoksi, mutta sitä on nyt jatkettava ja kehitettävä. Asukkaille suunnattu viestintä on tärkeä vaikutusmahdollisuuksien parantamiseksi ja jotta yhtä useampi voisi elää kestävän kehityksen periaatteiden mukaisesti. Kunta työskentelee myös niin sanottujen negatiivisten päästöjen eteen. Asukkaiden puutarhajätteet muunnetaan negatiivisiksi </w:t>
      </w:r>
      <w:r>
        <w:rPr>
          <w:lang w:val="fi-FI" w:bidi="fi-FI"/>
        </w:rPr>
        <w:lastRenderedPageBreak/>
        <w:t>päästöiksi kunnan nykyisellään tuottamaa biohiiltä käyttämällä. Söderenergillä on myös meneillään jännittävä työ Igelstaverketin Bio-CCS:n kanssa, joka voi pitkällä aikavälillä tuottaa erittäin suuria negatiivisia päästöjä.</w:t>
      </w:r>
    </w:p>
    <w:p w14:paraId="626B6007" w14:textId="77777777" w:rsidR="00D14529" w:rsidRDefault="00D14529" w:rsidP="00D14529">
      <w:r>
        <w:rPr>
          <w:lang w:val="fi-FI" w:bidi="fi-FI"/>
        </w:rPr>
        <w:t>Liikenteen hiilidioksidipäästöt vaikuttavat paljon ilmastonmuutokseen. Lisääntynyt matkustaminen joukkoliikenteellä, laajennettu latausinfrastruktuuri ja pyöräilyä edistävät toimet ovat osa ratkaisua ilmastopäästöjen vähentämiseen. Kunnan kiinteistöyhtiön on vähennettävä ilmastovaikutuksia kiinteistöissään. Tämä voidaan tehdä muun muassa lisäämällä energiatehokkuutta, rakentamalla resurssitehokkaasti ja harkitsemalla puun käyttöä rakennusmateriaalina uudisrakentamisessa.</w:t>
      </w:r>
    </w:p>
    <w:p w14:paraId="4C4FC5B5" w14:textId="77777777" w:rsidR="003A00A5" w:rsidRDefault="00D14529" w:rsidP="00D14529">
      <w:r>
        <w:rPr>
          <w:lang w:val="fi-FI" w:bidi="fi-FI"/>
        </w:rPr>
        <w:t xml:space="preserve">Södertäljen kunnan tulee olla ekologisen kestävyyden eturintamassa. Kunnan kestävällä tavalla tuotettujen elintarvikkeiden osaamista ja kehitysvoimaa tulee hyödyntää ja kunnan on jatkettava kehitystä kestävän elintarvikekehityksen solmukohtana. Kunta on ollut yksi ensimmäisistä Ruotsissa, joka on kehittänyt pölytyssuunnitelman pölyttävien hyönteisten olosuhteiden parantamiseksi. Tämä työ jatkuu. Toinen tärkeä ympäristötyö on se, että Södertäljessä ei saa olla haitallisia kemiallisia aineita, jotka vaikuttavat negatiivisesti ympäristöön tai ihmisiin.  </w:t>
      </w:r>
    </w:p>
    <w:p w14:paraId="2B609070" w14:textId="77777777" w:rsidR="00D14529" w:rsidRPr="003A00A5" w:rsidRDefault="00D14529" w:rsidP="00D14529">
      <w:r w:rsidRPr="00D14529">
        <w:rPr>
          <w:lang w:val="fi-FI" w:bidi="fi-FI"/>
        </w:rPr>
        <w:t>Kulutukseen liittyy monia ympäristöongelmia ja siksi työ resurssien ja jätehuollon parissa on tärkeä osa ympäristötyötä. Uudelleenkäyttöä ja kierrätystä on kehitettävä päästöjä aiheuttavan tarpeettoman resurssien käytön vähentämiseksi. Kunnan kasvaessa meidän on huolehdittava siitä, että tärkeät viheralueet säilyvät ja että ekosysteemipalvelut sisältyvät yhteiskunnan rakentamiseen. Ekosysteemipalvelujen sijoitusrahastoja lisätään ja edellisvuoden investointi luontoon ja ulkoiluun säilyy. Resursseja tarjotaan myös haitallisten lajien torjuntaan. Kosteikkoalueita perustamalla edistetään biologista monimuotoisuutta, veden puhdistamista ja lisääntynyttä sietokykyä. Måsnaren-, Uttran- ja Kyrksjön-järvissä toteutetaan varainhoitokauden aikana mittavia ponnisteluja veden laadun parantamiseksi.</w:t>
      </w:r>
    </w:p>
    <w:p w14:paraId="3291F0CE" w14:textId="77777777" w:rsidR="003A00A5" w:rsidRPr="00746444" w:rsidRDefault="003A00A5" w:rsidP="00746444">
      <w:pPr>
        <w:pStyle w:val="Rubrik2Nr"/>
        <w:rPr>
          <w:color w:val="0D6FB5"/>
        </w:rPr>
      </w:pPr>
      <w:r w:rsidRPr="00746444">
        <w:rPr>
          <w:color w:val="0D6FB5"/>
          <w:lang w:val="fi-FI" w:bidi="fi-FI"/>
        </w:rPr>
        <w:t>Aktiivinen ja menestyvä elinkeinoelämä</w:t>
      </w:r>
    </w:p>
    <w:p w14:paraId="23CFD9B1" w14:textId="77777777" w:rsidR="00D14529" w:rsidRDefault="00D14529" w:rsidP="00D14529">
      <w:r>
        <w:rPr>
          <w:lang w:val="fi-FI" w:bidi="fi-FI"/>
        </w:rPr>
        <w:t>Södertälje on monella tapaa houkutteleva kunta asua ja vaikuttaa. Elinkeinoelämä on elinehto Södertäljessä, joka on yksi harvoista kunnista, joissa kunta ei ole suurin työnantaja. Täällä on suuria vientiteollisuuksia, joilla on vuosisatoja pitkä historia, joukko keskisuuria yrityksiä ja monenlaisia pieniä yrityksiä, mikä antaa Södertäljelle vahvan ja tulevaisuuteen suuntautuvan elinkeinoelämän. Joka vuosi perustetaan monia uusia yrityksiä. Kunnan tulee kohdella niin uusia kuin vakiintuneita yrityksiäkin hyvin ja palveluhenkisesti.</w:t>
      </w:r>
    </w:p>
    <w:p w14:paraId="77DF2062" w14:textId="77777777" w:rsidR="00D14529" w:rsidRDefault="00D14529" w:rsidP="00D14529">
      <w:r>
        <w:rPr>
          <w:lang w:val="fi-FI" w:bidi="fi-FI"/>
        </w:rPr>
        <w:t>Kuten muualla maailmassa, myös Södertäljessä pandemia iski täydellä voimalla, mutta tästä huolimatta kunta pystyi nopeasti muuttamaan toimintaansa uusien tarpeiden ja edellytysten täyttämiseksi. Kaupungin elinkeinoelämä kärsi ankarasti pandemian aikana. Kunta päätti varhain mahdollisista tukitoimista. Elinkeinoelämää oli tarpeen avustaa yrityspaketin muodossa väliaikaisilla toimenpiteillä, jotta kunnan yrityksille saadaan hieman paremmat edellytykset selviytyä vaikeasta ajanjaksosta.</w:t>
      </w:r>
    </w:p>
    <w:p w14:paraId="45EA3B93" w14:textId="77777777" w:rsidR="003A00A5" w:rsidRPr="003A00A5" w:rsidRDefault="00D14529" w:rsidP="00D14529">
      <w:r>
        <w:rPr>
          <w:lang w:val="fi-FI" w:bidi="fi-FI"/>
        </w:rPr>
        <w:t>Södertäljen kunnalle hyvä liiketoimintaympäristö ja menestyvä elinkeinoelämä ovat erittäin tärkeitä. Södertäljessä on yhteensä yli 53 000 työpaikkaa. Sen työmarkkinat ja elinkeinoelämä ovat erittäin tärkeitä Ruotsin viennille ja solmukohtana suuremmalla työmarkkina-alueella. Södertälje Science Parkin kehittäminen ja KTH:n laajennus Södertäljessä ovat tärkeitä teollisuudelle: ei vain meidän kunnassamme, vaan koko Ruotsissa. Yritysten tulee pystyä kukoistamaan koko kunnassa ja niiden tulee edistää kaupungin kehitystä, mutta kehittää myös kunnanosien taajamia ja koko kunnan maaseutua. Kunnan tulee monin tavoin myötävaikuttaa siihen, että elinkeinoelämä voi jatkaa kasvuaan.</w:t>
      </w:r>
    </w:p>
    <w:p w14:paraId="45FC4680" w14:textId="77777777" w:rsidR="00D14529" w:rsidRDefault="00D14529" w:rsidP="00D14529">
      <w:r>
        <w:rPr>
          <w:lang w:val="fi-FI" w:bidi="fi-FI"/>
        </w:rPr>
        <w:lastRenderedPageBreak/>
        <w:t>Södertäljessä pitää olla laadukasta aikuiskoulutusta, joka pyrkii tarjoamaan ihmisille jatko-opiskelumahdollisuuksia. Siksi tähän kunnalle tärkeään toimintaan lisätään resursseja. Ohjelmista ja kursseista on oltava laaja tarjonta, ja toimintaa tulee harjoittaa sekä kunnan sisällä että yhteistyössä muiden koulutusten tarjoajien kanssa. On erityisen tärkeää, että aikuiskoulutus edistää sitä, että useammalla ihmisellä on riittävän hyvä ruotsin kielen taito lähialueen työmarkkinoille.</w:t>
      </w:r>
    </w:p>
    <w:p w14:paraId="7A297D01" w14:textId="77777777" w:rsidR="00D14529" w:rsidRDefault="00D14529" w:rsidP="00D14529">
      <w:r>
        <w:rPr>
          <w:lang w:val="fi-FI" w:bidi="fi-FI"/>
        </w:rPr>
        <w:t xml:space="preserve">Södertäljen kunnan työttömyys on maan keskiarvon yläpuolella. Kauimpana työmarkkinoista olevien ihmisten tulee saada toimeentulotukea, mutta on tärkeää, että tukea annetaan vain niille, jotka sitä todella tarvitsevat. On tärkeää, että uudet tulokkaat ottavat nopeasti yhteyttä työvoimaviranomaiseen kieleen ja työhön liittyvien aloitteiden käynnistämiseksi. Uusien tulokkaiden taitoja ja koulutusta on hyödynnettävä. </w:t>
      </w:r>
    </w:p>
    <w:p w14:paraId="24AD8DC5" w14:textId="77777777" w:rsidR="00D14529" w:rsidRDefault="00D14529" w:rsidP="00D14529">
      <w:r>
        <w:rPr>
          <w:lang w:val="fi-FI" w:bidi="fi-FI"/>
        </w:rPr>
        <w:t>Södertäljellä on infrastruktuurin, maantieteellisen sijainnin ja väestörakenteen kannalta strateginen sijainti, joka vastaa elinkeinoelämän tarpeita. Noin 2,3 miljoonaa ihmistä pääsee Södertäljeen tunnissa, koska se sijaitsee lähellä kahta Eurooppatietä, suurta kansainvälistä satamaa, kolmea rautatietä ja useita kansainvälisiä lentokenttiä. Tämä tekee Södertäljestä houkuttelevan paikan sekä olemassa olevan elinkeinoelämän kehittämiselle että uusille yrityksille. On joitakin esteitä, joista tärkeä osa liittyy infrastruktuuriin ja mahdollisuuteen matkustaa Södertäljen läpi. E4-tien ylittävän sillan ruuhka- ja haavoittuvuusongelmat, jotka kävivät ilmi vuonna 2016 tapahtuneen liikenneonnettomuuden jälkeen, osoittavat, kuinka tärkeää on varmistaa liikenneyhteydet Tukholman alueelle.</w:t>
      </w:r>
    </w:p>
    <w:p w14:paraId="31248287" w14:textId="77777777" w:rsidR="00D14529" w:rsidRDefault="00D14529" w:rsidP="00D14529">
      <w:r>
        <w:rPr>
          <w:lang w:val="fi-FI" w:bidi="fi-FI"/>
        </w:rPr>
        <w:t>Päivitetty elinkeinoelämästrategia tulee toteuttaa ja saavutettavuuden, vieraanvaraisuuden ja ammattitaidon tulee olla lähtökohtana tapaamisessa yritysten kanssa.</w:t>
      </w:r>
    </w:p>
    <w:p w14:paraId="60B04537" w14:textId="77777777" w:rsidR="00D14529" w:rsidRDefault="00D14529" w:rsidP="00D14529">
      <w:r>
        <w:rPr>
          <w:lang w:val="fi-FI" w:bidi="fi-FI"/>
        </w:rPr>
        <w:t>Elinkeinoelämän tulee olla vahva ja myötävaikuttaa Södertäljen kunnan palvelun paranemiseen ja kasvuun. Sen on myös tuotettava vientituloja Ruotsille. Kestävä kehitys on keskeinen näkökulma, kun toteutamme kunnianhimoiset tavoitteet koko Södertäljen kasvusta. MatLust-hankkeen kautta edistetään ympäristöön ja terveyteen liittyvää kestävää elintarviketeollisuutta.</w:t>
      </w:r>
    </w:p>
    <w:p w14:paraId="655C3674" w14:textId="77777777" w:rsidR="00BC75AB" w:rsidRDefault="00BC75AB" w:rsidP="00D14529">
      <w:r w:rsidRPr="00BC75AB">
        <w:rPr>
          <w:lang w:val="fi-FI" w:bidi="fi-FI"/>
        </w:rPr>
        <w:t>Södertäljen kunnassa ravintola-alalla on jännittävä tarjonta. Keskusta-alueemme, pienemmät taajamat ja laaja maaseutu tarjoavat vierailukohteita ostosten tekemiseen, ruokailuun, kahvitteluun, uimiseen, ulkoiluun ja kulttuuriin. Kunnassa on jokaiselle jotakin. Torekällbergetissa voi tutustua Södertäljen historiaan. Jos haluaa tutkia ja kokeilla, Tom Tits Experiment on itsestään selvä valinta koko perheelle. Keskeisellä paikalla Södertäljessä lähellä keskustaa, lähijunia ja luontoa sijaitsee Södertäljen hiljattain remontoitu vierassatama.</w:t>
      </w:r>
    </w:p>
    <w:p w14:paraId="1DA1FA6D" w14:textId="77777777" w:rsidR="003A00A5" w:rsidRPr="00746444" w:rsidRDefault="003A00A5" w:rsidP="00746444">
      <w:pPr>
        <w:pStyle w:val="Rubrik2Nr"/>
        <w:rPr>
          <w:color w:val="0D6FB5"/>
        </w:rPr>
      </w:pPr>
      <w:r w:rsidRPr="00746444">
        <w:rPr>
          <w:color w:val="0D6FB5"/>
          <w:lang w:val="fi-FI" w:bidi="fi-FI"/>
        </w:rPr>
        <w:t>Yhdyskuntasuunnittelu, rakentaminen ja keskustan kehittäminen</w:t>
      </w:r>
    </w:p>
    <w:p w14:paraId="6A10EBDB" w14:textId="77777777" w:rsidR="00BC75AB" w:rsidRDefault="00BC75AB" w:rsidP="00BC75AB">
      <w:r>
        <w:rPr>
          <w:lang w:val="fi-FI" w:bidi="fi-FI"/>
        </w:rPr>
        <w:t>Södertälje kasvaa, Södertäljeen perustetaan ja kasvaa yrityksiä, viime vuosina on valmistunut ja useita uusia asuntoja ja lisää uusia asuntoja on suunnitteilla. Kasvuvauhti merkitsee sitä, että liikemaan kysyntä sekä liike- että yhteisökiinteistöille jatkuu korkeana. Se merkitsee myös lisääntynyttä kuormitusta Södertäljen maa- ja vesialueille. Yleissuunnitelmassa tulevat selvästi esiin tiivistäminen ja kunnan eri taajamien ja kaupunginosien yhdistäminen. Tiivistäminen perustuu oletukseen, että puistot ja viheralueet ovat kestävän kaupunkikehityksen tärkeitä edellytyksiä. Uuden yleiskaavan laatimistyöstä on päätetty ja se on aloitettu.</w:t>
      </w:r>
    </w:p>
    <w:p w14:paraId="26351C9B" w14:textId="77777777" w:rsidR="00BC75AB" w:rsidRDefault="00BC75AB" w:rsidP="00BC75AB">
      <w:r>
        <w:rPr>
          <w:lang w:val="fi-FI" w:bidi="fi-FI"/>
        </w:rPr>
        <w:t xml:space="preserve">Suunnittelun ja rakentamisen tulee olla resurssitehokasta, ympäristöystävällistä ja suunniteltua siten, että se edistää myönteistä kaupunkikuvaa ja yhteisöllistä elämää. Kestävä rakentaminen sisältää ekosysteemipalvelut. Jatkuva työ arkkitehtonisen strategian parissa on tärkeä osa </w:t>
      </w:r>
      <w:r>
        <w:rPr>
          <w:lang w:val="fi-FI" w:bidi="fi-FI"/>
        </w:rPr>
        <w:lastRenderedPageBreak/>
        <w:t>elinympäristöjemme tulevaa kehitystä. Järjestelmällinen pyrkimys saavutettavuuden parantamiseksi on välttämätöntä, jotta kaikki voivat liikkua yhteiskunnassa tasavertaisesti.</w:t>
      </w:r>
    </w:p>
    <w:p w14:paraId="5E973D4C" w14:textId="77777777" w:rsidR="00BC75AB" w:rsidRDefault="00BC75AB" w:rsidP="00BC75AB">
      <w:r>
        <w:rPr>
          <w:lang w:val="fi-FI" w:bidi="fi-FI"/>
        </w:rPr>
        <w:t xml:space="preserve">Vuonna 2020 ylitimme 100 000 asukkaan rajan ja tavoitekuva 20 000 uudesta asunnosta vuoteen 2036 mennessä on jatkossakin keskeinen. Uusia asuntoja suunnitellaan kaupunkiin ja muihin kunnan taajamiin. Niissä laatu ja kestävyys muodostavat kokonaisuuden ja kunnalliset palvelut, kaupat ja liikenneyhteydet ovat asukkaiden saatavilla. Nopeasti kasvavilla alueilla, kuten Glasbergassa, Östertäljessä (Igelsta strand) ja Kallforsissa Järnassa on nostettava kysymyksiä palvelusta sekä lähialueen liikkumis- ja virkistysmahdollisuuksista. </w:t>
      </w:r>
    </w:p>
    <w:p w14:paraId="6B178863" w14:textId="77777777" w:rsidR="00BC75AB" w:rsidRDefault="00BC75AB" w:rsidP="00BC75AB">
      <w:r>
        <w:rPr>
          <w:lang w:val="fi-FI" w:bidi="fi-FI"/>
        </w:rPr>
        <w:t>Ilmansaasteet, kuten PM10-ongelma, ovat tärkeä osa yhdyskuntasuunnittelua. Ihmisten terveyden edistämiseksi jatkamme aktiivista työskentelyä erilaisilla toimenpiteillä, joissa kunnanhallituksen toimeksianto näiden selvittämiseen on tärkeä lähtökohta. Liikenteen hiilidioksidipäästöt vaikuttavat paljon ilmastonmuutokseen. Ruotsissa myytävien ladattavien autojen määrä kasvaa nopeasti ja Södertäljen kunnan on huolehdittava latausinfrastruktuurin laajentamisesta. Tähän työhön käytetään ylimääräisiä varoja. Södertäljestä tulee pyöräilykunta, ja siksi investoinnit ja panostukset tehdään pyöräilysuunnitelman mukaisesti pyörätalleihin, pyöräteihin ja muihin pyöräilyä edistäviin toimenpiteisiin. Pyöräteiden investointirahastot pysyvät etusijalla pyöräilysuunnitelman edellyttämän laajennuksen mukaisesti.</w:t>
      </w:r>
    </w:p>
    <w:p w14:paraId="00D840DE" w14:textId="77777777" w:rsidR="00BC75AB" w:rsidRDefault="00BC75AB" w:rsidP="00BC75AB">
      <w:r>
        <w:rPr>
          <w:lang w:val="fi-FI" w:bidi="fi-FI"/>
        </w:rPr>
        <w:t xml:space="preserve">Uusien paikkojen etsiminen sekä asuinmaan ja liiketilojen suunnittelun ja rakenteiden kehittäminen jatkuvat ja ne ovat tärkeä edellytys jatkuvalle yhdyskuntasuunnittelulle. Uusi ja kehittynyt infrastruktuuri, uudet asunnot ja yhteisökiinteistöt luovat kunnalle mahdollisuuksia kasvaa, tulla houkuttelevammaksi ja tulla useammalle sijoittautumis- ja asumispaikaksi. </w:t>
      </w:r>
    </w:p>
    <w:p w14:paraId="033D44B7" w14:textId="77777777" w:rsidR="00BC75AB" w:rsidRDefault="00BC75AB" w:rsidP="00BC75AB">
      <w:r>
        <w:rPr>
          <w:lang w:val="fi-FI" w:bidi="fi-FI"/>
        </w:rPr>
        <w:t>Jotta useammat ihmiset voisivat matkustaa joukkoliikenteellä töihin, kouluun ja harrastuksiin, siitä on tehtävä houkuttelevampaa. Siksi kunta aloittaa yhdessä Tukholman alueen kanssa muun muassa runkobussilinjojen rakentamisen.</w:t>
      </w:r>
    </w:p>
    <w:p w14:paraId="6081DF92" w14:textId="77777777" w:rsidR="00BC75AB" w:rsidRDefault="00BC75AB" w:rsidP="00BC75AB">
      <w:r>
        <w:rPr>
          <w:lang w:val="fi-FI" w:bidi="fi-FI"/>
        </w:rPr>
        <w:t xml:space="preserve">Elinvoimainen kaupungin keskusta on tärkeä koko kunnan kasvulle. Varaamme varoja tehdäksemme Södertäljen keskustasta entistä houkuttelevamman ja saavutettavamman. Vuonna 2020 tehtiin suunnittelulausunto Södertäljen keskustassa sijaitsevien Luna-kortteleiden muuttamisesta. Lähivuosina korttelit on tarkoitus rakentaa uudelleen. Muutoksista tulee tärkeä osa keskustan kehittämistä uusilla kaupungin ominaisuuksilla, viihtyisillä ympäristöillä ja nykyaikaisilla tiloilla. </w:t>
      </w:r>
    </w:p>
    <w:p w14:paraId="716AC720" w14:textId="77777777" w:rsidR="00BC75AB" w:rsidRDefault="00BC75AB" w:rsidP="00BC75AB">
      <w:r>
        <w:rPr>
          <w:lang w:val="fi-FI" w:bidi="fi-FI"/>
        </w:rPr>
        <w:t xml:space="preserve">Södertälje – kaupunki veden äärellä – on jatkossa entistä kauniimpi ja viihtyisämpi sekä paikka, jossa kaupunkilaiset ja vierailijat voivat nauttia arjestaan. Marenplan on tärkeä osa Södertäljen kehitystä. Kunnan ja yksityisten kiinteistönomistajien tekemät mittavat investoinnit Marenin rannoilla ja sen ympäristössä tulevina vuosina sekä laiturien ja kävelykatujen kunnostus edistävät aluetta entisestään. Samalla panostetaan edelleen Stora torgetin ja muun kaupungin keskustan houkuttelevuuden ja elinvoimaisuuden lisäämiseen uusien toimintojen myötä. </w:t>
      </w:r>
    </w:p>
    <w:p w14:paraId="28661B7A" w14:textId="77777777" w:rsidR="00BC75AB" w:rsidRDefault="00BC75AB" w:rsidP="00BC75AB">
      <w:r>
        <w:rPr>
          <w:lang w:val="fi-FI" w:bidi="fi-FI"/>
        </w:rPr>
        <w:t xml:space="preserve">Kunnan yhteistyö kauppiaiden ja kiinteistönomistajien kanssa keskustan kehittämisessä jatkuu. Keskustassa tulisi olla mukavaa ja helppoa käydä ostoksilla, syömässä, osallistumassa kulttuuritoimintaan tai johonkin muuhun. Pandemian jälkeisten rajoitusten laantuessa voimme vihdoin järjestää hienoja tapahtumia, kuten Södertäljefestivalen-tapahtuman tai juhlia sitä, että kunta on nyt saavuttanut 100 000 asukkaan rajan. Keskustan kehittämisen kannalta on tärkeää, että julkiset kulkuyhteydet ovat hyvät, ja että kulku pyöräilijöille ja jalankulkijoille on helppoa. Autoa tarvitseville on tärkeää saada hyvät pysäköintiolosuhteet. Koronapandemian aikana on ollut tarvetta sekä julkisen liikenteen keventämiselle että paikallisten keskustakauppojen </w:t>
      </w:r>
      <w:r>
        <w:rPr>
          <w:lang w:val="fi-FI" w:bidi="fi-FI"/>
        </w:rPr>
        <w:lastRenderedPageBreak/>
        <w:t>tukemiselle. Kahden tunnin ilmainen pysäköinti otetaan käyttöön vuonna 2022 kolmella keskustan parkkipaikalla. Väärinkäytöksiä estävää tekniikkaa on käytettävä.</w:t>
      </w:r>
    </w:p>
    <w:p w14:paraId="7038CCBE" w14:textId="77777777" w:rsidR="00BC75AB" w:rsidRDefault="00BC75AB" w:rsidP="00BC75AB">
      <w:r>
        <w:rPr>
          <w:lang w:val="fi-FI" w:bidi="fi-FI"/>
        </w:rPr>
        <w:t xml:space="preserve">Järnan keskustan kehittämistä jatketaan laaditun rakennustapasuosituksen pohjalta ja jatkamme investointeja Järnan keskustaan luodaksemme kohtaamispaikkoja, lisää vehreyttä ja esteettistä muotoilua. Järnan kaupunkialue kasvaa ja siksi keskustan on muututtava, kun Järnaan ja sen ympäristöön asettuu yhä enemmän ihmisiä.  </w:t>
      </w:r>
    </w:p>
    <w:p w14:paraId="4E13826B" w14:textId="77777777" w:rsidR="00F3402A" w:rsidRDefault="003A00A5" w:rsidP="003A00A5">
      <w:r w:rsidRPr="003A00A5">
        <w:rPr>
          <w:lang w:val="fi-FI" w:bidi="fi-FI"/>
        </w:rPr>
        <w:t xml:space="preserve"> </w:t>
      </w:r>
    </w:p>
    <w:p w14:paraId="5D7F2434" w14:textId="77777777" w:rsidR="003A00A5" w:rsidRPr="00746444" w:rsidRDefault="003A00A5" w:rsidP="00746444">
      <w:pPr>
        <w:pStyle w:val="Rubrik2Nr"/>
        <w:rPr>
          <w:color w:val="0D6FB5"/>
        </w:rPr>
      </w:pPr>
      <w:r w:rsidRPr="00746444">
        <w:rPr>
          <w:color w:val="0D6FB5"/>
          <w:lang w:val="fi-FI" w:bidi="fi-FI"/>
        </w:rPr>
        <w:t>Maaseutu ja luonto</w:t>
      </w:r>
    </w:p>
    <w:p w14:paraId="719CB6DB" w14:textId="77777777" w:rsidR="00885E28" w:rsidRDefault="00885E28" w:rsidP="00885E28">
      <w:r>
        <w:rPr>
          <w:lang w:val="fi-FI" w:bidi="fi-FI"/>
        </w:rPr>
        <w:t xml:space="preserve">Yksi Södertäljen kunnan vahvuuksista on, että siellä on sekä kaupunkiasutusta että elinvoimaista maaseutua, jossa eri kunnanosilla on jokaisella oma identiteettinsä. Suojelemme ja kehitämme jokaisen kunnanosan ainutlaatuisia ominaisuuksia ja autamme ihmisiä asumaan, työskentelemään ja harjoittamaan yritystoimintaa maaseudulla. Maaseudun kehittämistyö jatkuu ja työ maaseutustrategian kehittämiseksi valmistuu vuonna 2022. Yhä useammat ihmiset saavat mahdollisuuden asua ja työskennellä maaseudulla. </w:t>
      </w:r>
    </w:p>
    <w:p w14:paraId="241FD2D7" w14:textId="77777777" w:rsidR="00885E28" w:rsidRDefault="00885E28" w:rsidP="00885E28">
      <w:r>
        <w:rPr>
          <w:lang w:val="fi-FI" w:bidi="fi-FI"/>
        </w:rPr>
        <w:t xml:space="preserve">Södertäljen kunnan erittäin suuri investointi kuitu- ja laajakaistayhteyden laajentamiseksi lähestyy sitä tavoitetta, että kaikki halukkaat saavat sen käyttöönsä. Toimivan elinkeinoelämän ja maaseudulla asuvien hyvän arjen takaamiseksi kuitu- ja laajakaistayhteyden laajentaminen on erittäin tärkeää. Kunta jatkaa aktiivista työtä kuitulaajennuksessa tarjotakseen laajakaistan maaseudun yrityksille, yhdistyksille ja asukkaille. </w:t>
      </w:r>
    </w:p>
    <w:p w14:paraId="73E84F81" w14:textId="77777777" w:rsidR="00885E28" w:rsidRDefault="00885E28" w:rsidP="00885E28">
      <w:r>
        <w:rPr>
          <w:lang w:val="fi-FI" w:bidi="fi-FI"/>
        </w:rPr>
        <w:t xml:space="preserve">Elävä maaseutu tarvitsee aktiivista seuraelämää. Osa tätä on se, että jatkamme maaseututilojen, kokoontumispaikkojen ja kokoustilojen tukemista kunta-alueilla. Paikallisten yhdistysten mahdollisuudet aktivoida ihmisiä keskustan ulkopuolella on otettava huomioon ja mahdollisuuksia on edistettävä. Seurantalot ja kansantalo voivat saada valtiontukea investointeihin, mutta sitä on lähes aina täydennettävä kunnallisella tuella. Siksi varaamme nyt vuosittain varoja Mölnbon maatilojen ja kansantalon ylläpitoon. </w:t>
      </w:r>
    </w:p>
    <w:p w14:paraId="323EFA0E" w14:textId="77777777" w:rsidR="00885E28" w:rsidRDefault="00885E28" w:rsidP="00885E28">
      <w:r>
        <w:rPr>
          <w:lang w:val="fi-FI" w:bidi="fi-FI"/>
        </w:rPr>
        <w:t>Enhörnassa Vallaskolan uuden koulun rakentamisen suunnittelu jatkuu. Kiinnostus kunnanosaa kohtaan on suuri, mutta isompien lasten perheille ei aina ole itsestään selvää muuttaa tänne, koska yläaste puuttuu. Mölnbossa uuden urheiluhallin rakentaminen jatkuu. Lähivuosina Järnalla on edessään jännittävä kehitys, jossa lisätään asuntoja ja panostetaan viihtyisän asumiskeskuksen kehittämiseen. Uuteen kulttuurikeskukseen, jossa on muun muassa kirjasto ja vapaa-ajankeskus, investoidaan. Ljungbackenin urheilukentälle rakennetaan uutta jäähallia seuraavana vaiheena kaikenikäisille sopivan urheilua ja ulkoilua tarjoavan paikan kehittämisessä.</w:t>
      </w:r>
    </w:p>
    <w:p w14:paraId="350BBE08" w14:textId="77777777" w:rsidR="00885E28" w:rsidRDefault="00885E28" w:rsidP="00885E28">
      <w:r>
        <w:rPr>
          <w:lang w:val="fi-FI" w:bidi="fi-FI"/>
        </w:rPr>
        <w:t xml:space="preserve">Infrastruktuurin ylläpitämiseksi maaseudulla annamme jatkossakin kunnallista tukea valtiontukea saaville yksittäisille teille. Avustus kattaa vain osan kustannuksista pitää tien auki ja hyvässä kunnossa. Jotta estettäisiin useampien teiden sulkeminen puomeilla ja jotta jako olisi tasaisempi kaupungin ja maaseudun välillä, kunta ottaa käyttöön tuen valtiontukea saaville yksittäisille teille. </w:t>
      </w:r>
    </w:p>
    <w:p w14:paraId="1E8615AB" w14:textId="77777777" w:rsidR="00885E28" w:rsidRDefault="00885E28" w:rsidP="00885E28">
      <w:r>
        <w:rPr>
          <w:lang w:val="fi-FI" w:bidi="fi-FI"/>
        </w:rPr>
        <w:t xml:space="preserve">Suuri osa luonnostamme löytyy maaseudulta metsien, maan ja purojen muodossa, mutta kaupungin lähellä oleva luonto on tärkeä myös virkistystoiminnan, terveyden ja biologisen monimuotoisuuden kannalta. Maaseutu- ja kaupunkialueet ovat toisistaan riippuvaisia, ei vähiten elintarviketurvan vuoksi. Södertäljessä on rikas maaseutu, jolla on pitkät perinteet kestävälle elintarvikkeiden tuotannolle ja luomuviljelylle, mikä luo mahdollisuuksia vahvalle maaseudun kehitykselle. Maatalousmaata on suojeltava ja työtä elintarvikestrategian kehittämiseksi on jatkettava. Kunnan ateriatoiminnan ja viljelystrategian kautta vahvistetaan kestävän kehityksen </w:t>
      </w:r>
      <w:r>
        <w:rPr>
          <w:lang w:val="fi-FI" w:bidi="fi-FI"/>
        </w:rPr>
        <w:lastRenderedPageBreak/>
        <w:t xml:space="preserve">periaatteiden mukaisesti elämisen edellytyksiä kunnassa. Södertälje on myös saaristokunta, jossa on rikas luonto, veneily- ja matkailumahdollisuuksia ja lisäksi Oaxenin saarella on mahdollisuus ympärivuotiseen asumiseen.  </w:t>
      </w:r>
    </w:p>
    <w:p w14:paraId="18FA1604" w14:textId="77777777" w:rsidR="00885E28" w:rsidRDefault="00885E28" w:rsidP="00885E28">
      <w:r>
        <w:rPr>
          <w:lang w:val="fi-FI" w:bidi="fi-FI"/>
        </w:rPr>
        <w:t>Pandemian aikana yhä useammat ihmiset ovat vierailleet lähialueen kohteissa. Tästä esimerkkinä on, että kuntien luonnonsuojelualueilla ja muilla luontoalueilla käynnit ovat lisääntyneet huomattavasti. Nostaaksemme tavoitetasoa, vastataksemme lisääntyneeseen kiinnostukseen ja parantaaksemme kunnan luonnonsuojelualueen ja taajama-alueiden metsien saavutettavuutta, varaamme edelleen lisää budjettivaroja luontoon ja ulkoiluun. Luontokoulu saa avustuksen, jonka avulla useammat lapset saavat mahdollisuuden kokea luonnon, oppia luonnosta sekä muodostamaan suhteen luontoon koulunkäynnin puitteissa. Avustuksen tarkoituksena on myös mahdollistaa luontokoulun kehittäminen, jotta saavutetaan useampia kohderyhmiä yhteiskunnassa ja voidaan alentaa kynnystä olla luonnossa useampien osalta.</w:t>
      </w:r>
    </w:p>
    <w:p w14:paraId="4D2B6993" w14:textId="77777777" w:rsidR="003A00A5" w:rsidRPr="00746444" w:rsidRDefault="003A00A5" w:rsidP="00746444">
      <w:pPr>
        <w:pStyle w:val="Rubrik2Nr"/>
        <w:rPr>
          <w:color w:val="0D6FB5"/>
        </w:rPr>
      </w:pPr>
      <w:r w:rsidRPr="00746444">
        <w:rPr>
          <w:color w:val="0D6FB5"/>
          <w:lang w:val="fi-FI" w:bidi="fi-FI"/>
        </w:rPr>
        <w:t>Kulttuuri, kansanvalistus, urheilu ja yhdistyselämä</w:t>
      </w:r>
    </w:p>
    <w:p w14:paraId="157E093E" w14:textId="77777777" w:rsidR="00885E28" w:rsidRPr="00885E28" w:rsidRDefault="00885E28" w:rsidP="00885E28">
      <w:pPr>
        <w:rPr>
          <w:iCs/>
        </w:rPr>
      </w:pPr>
      <w:r w:rsidRPr="00885E28">
        <w:rPr>
          <w:lang w:val="fi-FI" w:bidi="fi-FI"/>
        </w:rPr>
        <w:t xml:space="preserve">Kulttuuri on demokraattisen kehityksen liikkeellepaneva voima, koska se edistää koulutusta ja muodostaa foorumin keskusteluille ja vuoropuheluille. Kulttuuri on myös uusien ajatusten ja näkökulmien alusta. Paikallista kulttuurielämää on edistettävä ja kulttuuria vahvistettava. Kulttuurin tulee tarjota tilaa kunnassa vallitseville kokemusten monimuotoisuudelle. Kulttuurityöntekijöidemme ja vapaan kulttuurielämän edellytysten on oltava hyvät. Siksi talousarvioon sisältyy useita kulttuuri-investointeja. </w:t>
      </w:r>
    </w:p>
    <w:p w14:paraId="1F354506" w14:textId="77777777" w:rsidR="00885E28" w:rsidRPr="00885E28" w:rsidRDefault="00885E28" w:rsidP="00885E28">
      <w:pPr>
        <w:rPr>
          <w:iCs/>
        </w:rPr>
      </w:pPr>
      <w:r w:rsidRPr="00885E28">
        <w:rPr>
          <w:lang w:val="fi-FI" w:bidi="fi-FI"/>
        </w:rPr>
        <w:t>Torekällbergetin saamaa tukea vahvistetaan, jotta Södertäljen asukkaille ja vierailijoille voidaan tarjota lisää riemua ja iloa kesän ja joulun aikana. Onnistuneet kesälomahankkeet jatkuvat ja varoja on varattu lapsille ja nuorille suunnattuun toimintaan kesäloman 2022 aikana.</w:t>
      </w:r>
    </w:p>
    <w:p w14:paraId="59A5C52E" w14:textId="77777777" w:rsidR="00885E28" w:rsidRPr="00885E28" w:rsidRDefault="00885E28" w:rsidP="00885E28">
      <w:pPr>
        <w:rPr>
          <w:iCs/>
        </w:rPr>
      </w:pPr>
      <w:r w:rsidRPr="00885E28">
        <w:rPr>
          <w:lang w:val="fi-FI" w:bidi="fi-FI"/>
        </w:rPr>
        <w:t>Södertäljessä on edistyksellistä vapaa-ajankeskustyötä, joten vapaa-ajankeskuksiamme pidetään erittäin hyvin toimivina. Niillä on selkeät toimintastrategiat ja laadukas toiminta.  Meillä on useita vapaa-ajankeskuksia eri puolilla kuntaa, meillä on ammattitaitoinen henkilökunta ja joustavat kohtaamispaikkamme edistävät erityisesti ainutlaatuisen hyvää työtämme. Jatkammekin siis rahan sijoittamista liiketoimintaan esimerkiksi liikkuvan vapaa-ajankeskusbussin kautta.</w:t>
      </w:r>
    </w:p>
    <w:p w14:paraId="478A52EC" w14:textId="77777777" w:rsidR="00885E28" w:rsidRPr="00885E28" w:rsidRDefault="00885E28" w:rsidP="00885E28">
      <w:pPr>
        <w:rPr>
          <w:iCs/>
        </w:rPr>
      </w:pPr>
      <w:r w:rsidRPr="00885E28">
        <w:rPr>
          <w:lang w:val="fi-FI" w:bidi="fi-FI"/>
        </w:rPr>
        <w:t xml:space="preserve">Kultur365 ilahduttaa monia eläkeläisiä musiikilla ja avartuneilla näkymillä. Siksi jatkamme varojen osoittamista tälle tärkeälle toiminnalle. </w:t>
      </w:r>
    </w:p>
    <w:p w14:paraId="209C0014" w14:textId="77777777" w:rsidR="00885E28" w:rsidRPr="00885E28" w:rsidRDefault="00885E28" w:rsidP="00885E28">
      <w:pPr>
        <w:rPr>
          <w:iCs/>
        </w:rPr>
      </w:pPr>
      <w:r w:rsidRPr="00885E28">
        <w:rPr>
          <w:lang w:val="fi-FI" w:bidi="fi-FI"/>
        </w:rPr>
        <w:t>Södertäljen kunta kasvaa nopeasti ja keskustamme saa uuden ilmeen uusilla rakennuksilla mm. Luna-kortteleiden ja keskustan kiinteistönomistajien uusien yhteistyökumppaneiden kautta. Tänä dynaamisena aikana taidetta ei saa unohtaa. Vuonna 2022 jatketaan asukkaiden hyvinvoinnin lisäämistä uuden taiteen avulla. Ylläpidämme kunta-alueiden maaseututilojen, kokoontumispaikkojen ja muiden kokoustilojen tukea. Södertäljen kunta on ostanut Saltskogs Gårdin, ja sitä kunnostetaan nyt tulevaa käyttöä varten.</w:t>
      </w:r>
    </w:p>
    <w:p w14:paraId="1BBBB8AA" w14:textId="77777777" w:rsidR="00885E28" w:rsidRPr="00885E28" w:rsidRDefault="00885E28" w:rsidP="00885E28">
      <w:pPr>
        <w:rPr>
          <w:iCs/>
        </w:rPr>
      </w:pPr>
      <w:r w:rsidRPr="00885E28">
        <w:rPr>
          <w:lang w:val="fi-FI" w:bidi="fi-FI"/>
        </w:rPr>
        <w:t xml:space="preserve">Kirjastoilla on tärkeä rooli kulttuurin, demokraattisen yhteiskunnan sekä kielen vaalimisen ja kehittämisen kannalta. Erityisen tärkeitä ovat lasten ja nuorten kielen kehittäminen ja kirjojen ja kirjaston käyttömahdollisuus. Siksi vuonna 2022 perustetaan kirjastoauto. Opintoliitot ovat perinteisesti ottaneet suuren vastuun Södertäljen kulttuuri- ja koulutustoiminnasta monine tapahtumineen ja aktiviteetteineen. He ovat jatkossakin kunnalle tärkeitä yhteistyökumppaneita. </w:t>
      </w:r>
    </w:p>
    <w:p w14:paraId="0BA80A7B" w14:textId="77777777" w:rsidR="00885E28" w:rsidRPr="00885E28" w:rsidRDefault="00885E28" w:rsidP="00885E28">
      <w:pPr>
        <w:rPr>
          <w:iCs/>
        </w:rPr>
      </w:pPr>
      <w:r w:rsidRPr="00885E28">
        <w:rPr>
          <w:lang w:val="fi-FI" w:bidi="fi-FI"/>
        </w:rPr>
        <w:t xml:space="preserve">Södertälje on ja tulee olemaan urheilullinen kunta. Urheilukenttiä ja tiloja niin järjestettyä kuin spontaania urheilua varten kehitetään edelleen koko kunnassa. Useita tärkeitä investointeja on meneillään tai alkamassa lähiaikoina. Tällaisia ovat spontaanit urheilukentät, Genetan </w:t>
      </w:r>
      <w:r w:rsidRPr="00885E28">
        <w:rPr>
          <w:lang w:val="fi-FI" w:bidi="fi-FI"/>
        </w:rPr>
        <w:lastRenderedPageBreak/>
        <w:t xml:space="preserve">urheilukentän kunnostus muun muassa varattavissa olevalla jalkapallokentällä sekä Järnan, Hölön, Mölnbon ja Östertäljen urheilukenttien kunnostus. Varoja osoitetaan myös Vasan alueen kolmannen jääalueen suunnittelukustannuksiin sekä Järnan uuden urheiluhallin sopivan sijainnin selvittämiseen. Tärkeä näkökulma on varmistaa, että investoinnit ja toiminnot edistävät tasa-arvoisen urheilun tavoitetta. </w:t>
      </w:r>
    </w:p>
    <w:p w14:paraId="48A6D76A" w14:textId="77777777" w:rsidR="00885E28" w:rsidRPr="00885E28" w:rsidRDefault="00885E28" w:rsidP="00885E28">
      <w:pPr>
        <w:rPr>
          <w:iCs/>
        </w:rPr>
      </w:pPr>
      <w:r w:rsidRPr="00885E28">
        <w:rPr>
          <w:lang w:val="fi-FI" w:bidi="fi-FI"/>
        </w:rPr>
        <w:t>Södertäljessä on laaja yhdistyselämä, joka on tärkeä elinvoimaiselle yhteiskunnalle, johon asukkaat voivat osallistua vapaa-ajallaan kiinnostuksen mukaan. Osa kulttuuri- ja vapaa-ajan alasta kärsi rajusti koronapandemiasta. Kunnan tulee antaa aktiivisesti yhdistyksille tietoa siitä, miten toiminnalle haetaan avustusta myös muualta kuin kunnasta. Sijoitamme lisävaroja vahvistaaksemme kuntatyötä entisestään yhteistyösopimuksella yhdistysten ja muiden järjestöjen kanssa.</w:t>
      </w:r>
    </w:p>
    <w:p w14:paraId="43A2E954" w14:textId="77777777" w:rsidR="00885E28" w:rsidRPr="00885E28" w:rsidRDefault="00885E28" w:rsidP="00885E28">
      <w:pPr>
        <w:rPr>
          <w:iCs/>
        </w:rPr>
      </w:pPr>
      <w:r w:rsidRPr="00885E28">
        <w:rPr>
          <w:lang w:val="fi-FI" w:bidi="fi-FI"/>
        </w:rPr>
        <w:t>Kansalaisyhteiskunta on keskeinen osa yhteiskuntaa ja kaikki kulttuurin, yleissivistyksen, urheilun ja ulkoilun parissa työskentelevien yhdistysten toiminta edistää fyysistä ja henkistä terveyttä, yhteisöllisyyttä ja sosiaalista kestävyyttä. Yhteistyösopimuksen työstämistä jatketaan, jotta voidaan vastata erilaisiin yhteiskunnallisiin haasteisiin yhdessä kansalaisyhteiskunnan kanssa.</w:t>
      </w:r>
    </w:p>
    <w:p w14:paraId="5BDE23F7" w14:textId="77777777" w:rsidR="00A37148" w:rsidRPr="003A00A5" w:rsidRDefault="00885E28" w:rsidP="003A00A5">
      <w:r w:rsidRPr="00885E28">
        <w:rPr>
          <w:lang w:val="fi-FI" w:bidi="fi-FI"/>
        </w:rPr>
        <w:t>Yhteisö kehittää ihmisten välistä luottamusta, mikä on keskeistä demokraattisessa yhteiskunnassa, jossa jokaisen tulee tuntea osallisuutta. Kunta toimii aktiivisesti luodakseen kuntalaisille lisää mahdollisuuksia osallistua yhteiskuntaan muun muassa kansalaiskuulemisten ja digitaalisten vaikuttamistyökalujen avulla.</w:t>
      </w:r>
    </w:p>
    <w:p w14:paraId="74169C82" w14:textId="77777777" w:rsidR="003A00A5" w:rsidRPr="008218A6" w:rsidRDefault="003A00A5" w:rsidP="008218A6">
      <w:pPr>
        <w:pStyle w:val="Rubrik1Nr"/>
        <w:rPr>
          <w:color w:val="0D6FB5"/>
        </w:rPr>
      </w:pPr>
      <w:r w:rsidRPr="008218A6">
        <w:rPr>
          <w:color w:val="0D6FB5"/>
          <w:lang w:val="fi-FI" w:bidi="fi-FI"/>
        </w:rPr>
        <w:t>Lautakuntakohtainen painopiste</w:t>
      </w:r>
    </w:p>
    <w:p w14:paraId="227F2901" w14:textId="77777777" w:rsidR="00885E28" w:rsidRDefault="00885E28" w:rsidP="00885E28">
      <w:r>
        <w:rPr>
          <w:lang w:val="fi-FI" w:bidi="fi-FI"/>
        </w:rPr>
        <w:t xml:space="preserve">Kuten aiemmin todettiin, lautakuntien on, lukuun ottamatta kohdealuetta ”Houkutteleva työnantaja”, pysyteltävä kunnanvaltuuston tavoitteissa toimintasuunnitelmissaan selventämällä ja konkretisoimalla tavoitteita oman sosiaalisen tehtävänsä ja niiden kohderyhmien puitteissa, joista lautakunta on vastuussa. </w:t>
      </w:r>
    </w:p>
    <w:p w14:paraId="0354D5EC" w14:textId="77777777" w:rsidR="00885E28" w:rsidRDefault="00885E28" w:rsidP="00885E28">
      <w:r>
        <w:rPr>
          <w:lang w:val="fi-FI" w:bidi="fi-FI"/>
        </w:rPr>
        <w:t>Lautakuntien määräyksissä kunnanvaltuusto on kuvannut, mistä yhteiskunnallisista tehtävistä kukin lautakunta vastaa. Kaikkien lautakuntien odotetaan keskittyvän korkean laadun ylläpitämiseen niillä vastuualueilla, jotka kussakin määräyksessä on ilmoitettu. Lautakuntien odotetaan myös analysoivan järjestelmällisesti ja parantavan työtään kaikilla vastuualueilla sekä määrittelevän, mitä toimintojen osia on tärkeintä vahvistaa varainhoitokauden aikana. Lopuksi kunnanvaltuusto listaa kullekin lautakunnalle seuraavassa luetellut erityiset painopistealueet, joihin niiden odotetaan keskittyvän erityisesti tulevina toimintavuosina.</w:t>
      </w:r>
    </w:p>
    <w:p w14:paraId="689F67F1" w14:textId="77777777" w:rsidR="00F93BA3" w:rsidRDefault="00F93BA3" w:rsidP="00885E28"/>
    <w:p w14:paraId="46638502" w14:textId="77777777" w:rsidR="003A00A5" w:rsidRPr="003A00A5" w:rsidRDefault="003A00A5" w:rsidP="003A00A5">
      <w:pPr>
        <w:rPr>
          <w:b/>
        </w:rPr>
      </w:pPr>
      <w:r w:rsidRPr="003A00A5">
        <w:rPr>
          <w:b/>
          <w:lang w:val="fi-FI" w:bidi="fi-FI"/>
        </w:rPr>
        <w:t>Kunnanhallituksen tehtävät</w:t>
      </w:r>
    </w:p>
    <w:p w14:paraId="72F28340" w14:textId="77777777" w:rsidR="00885E28" w:rsidRDefault="003A00A5" w:rsidP="00885E28">
      <w:r w:rsidRPr="003A00A5">
        <w:rPr>
          <w:lang w:val="fi-FI" w:bidi="fi-FI"/>
        </w:rPr>
        <w:t>• Vahvistaa ja kehittää kuntakonsernin valvontatehtävää ja strategista johtamista.</w:t>
      </w:r>
    </w:p>
    <w:p w14:paraId="5CA2332C" w14:textId="77777777" w:rsidR="00885E28" w:rsidRDefault="00885E28" w:rsidP="00885E28">
      <w:r>
        <w:rPr>
          <w:lang w:val="fi-FI" w:bidi="fi-FI"/>
        </w:rPr>
        <w:t>• Antaa elinkeinoelämälle edellytykset kehittyä tarjoamalla houkuttelevilla paikoilla olevaa liikemaata ja kehittämällä kunnan palvelun laatua.</w:t>
      </w:r>
    </w:p>
    <w:p w14:paraId="559201D0" w14:textId="77777777" w:rsidR="00885E28" w:rsidRDefault="00885E28" w:rsidP="00885E28">
      <w:r>
        <w:rPr>
          <w:lang w:val="fi-FI" w:bidi="fi-FI"/>
        </w:rPr>
        <w:t>• Markkinoida Södertäljeä kasvavana ja houkuttelevana korkeakoulupaikkakuntana.</w:t>
      </w:r>
    </w:p>
    <w:p w14:paraId="5D5C78CE" w14:textId="77777777" w:rsidR="00885E28" w:rsidRPr="00C01836" w:rsidRDefault="00885E28" w:rsidP="00885E28">
      <w:r w:rsidRPr="00C01836">
        <w:rPr>
          <w:lang w:val="fi-FI" w:bidi="fi-FI"/>
        </w:rPr>
        <w:t xml:space="preserve">• Jatkaa hallituksen yhteistä työtä hyvinvointirikosten torjuntaan – PAX </w:t>
      </w:r>
    </w:p>
    <w:p w14:paraId="3F93546C" w14:textId="77777777" w:rsidR="00885E28" w:rsidRDefault="00885E28" w:rsidP="00885E28">
      <w:r>
        <w:rPr>
          <w:lang w:val="fi-FI" w:bidi="fi-FI"/>
        </w:rPr>
        <w:lastRenderedPageBreak/>
        <w:t>• Kehittää kunnan strategista ympäristö- ja ilmastotyötä. Lähtökohtana ovat YK:n maailmanlaajuiset kestävän kehityksen tavoitteet, Ruotsin kansalliset ympäristötavoitteet sekä kunnan suunnitelmat ja suuntaviivat tällä alalla.</w:t>
      </w:r>
    </w:p>
    <w:p w14:paraId="121A880E" w14:textId="77777777" w:rsidR="00885E28" w:rsidRDefault="00885E28" w:rsidP="00885E28">
      <w:r>
        <w:rPr>
          <w:lang w:val="fi-FI" w:bidi="fi-FI"/>
        </w:rPr>
        <w:t>• Varmistaa hyvä ja tehokas organisaatio demokratian, sukupuolten tasa-arvon, integraation ja turvallisuuden parissa.</w:t>
      </w:r>
    </w:p>
    <w:p w14:paraId="1EE24C3E" w14:textId="77777777" w:rsidR="00885E28" w:rsidRDefault="00885E28" w:rsidP="00885E28">
      <w:r>
        <w:rPr>
          <w:lang w:val="fi-FI" w:bidi="fi-FI"/>
        </w:rPr>
        <w:t>• Tukea ja kehittää henkilöstön asenteita, jotka edistävät kasvua ja positiivista suhtautumista elinkeinoelämään.</w:t>
      </w:r>
    </w:p>
    <w:p w14:paraId="6A93A11D" w14:textId="77777777" w:rsidR="00004D93" w:rsidRPr="003A00A5" w:rsidRDefault="00004D93" w:rsidP="003A00A5"/>
    <w:p w14:paraId="3C98D763" w14:textId="77777777" w:rsidR="003A00A5" w:rsidRPr="003A00A5" w:rsidRDefault="003A00A5" w:rsidP="003A00A5">
      <w:pPr>
        <w:rPr>
          <w:b/>
        </w:rPr>
      </w:pPr>
      <w:r w:rsidRPr="003A00A5">
        <w:rPr>
          <w:b/>
          <w:lang w:val="fi-FI" w:bidi="fi-FI"/>
        </w:rPr>
        <w:t>Opetuslautakuntien tehtävät</w:t>
      </w:r>
    </w:p>
    <w:p w14:paraId="4E8BC27C" w14:textId="77777777" w:rsidR="00885E28" w:rsidRDefault="003A00A5" w:rsidP="00885E28">
      <w:r w:rsidRPr="003A00A5">
        <w:rPr>
          <w:lang w:val="fi-FI" w:bidi="fi-FI"/>
        </w:rPr>
        <w:t>• Työskennellä sen yleistavoitteen pohjalta, että lapset ja opiskelijat saavuttavat esiopetuksen ja koulun tavoitteet. Kaikkien päätösten ja toimintojen tulee perustua tähän yleiseen tavoitteeseen ja ne tulee toteuttaa järjestelmällisellä, strategisella ja tutkimuspohjaisella laatutyöllä.</w:t>
      </w:r>
    </w:p>
    <w:p w14:paraId="62B100DC" w14:textId="77777777" w:rsidR="00885E28" w:rsidRDefault="00885E28" w:rsidP="00885E28">
      <w:r>
        <w:rPr>
          <w:lang w:val="fi-FI" w:bidi="fi-FI"/>
        </w:rPr>
        <w:t>• Suorittaa resurssien allokointimallin valvonta ja tarkistus.</w:t>
      </w:r>
    </w:p>
    <w:p w14:paraId="3B7AF4C1" w14:textId="77777777" w:rsidR="00885E28" w:rsidRDefault="00885E28" w:rsidP="00885E28">
      <w:r>
        <w:rPr>
          <w:lang w:val="fi-FI" w:bidi="fi-FI"/>
        </w:rPr>
        <w:t>• Jatkaa keskiasteen oppilaitosten ja aikuiskoulutuksen vahvistamista erityisesti ammatillisen valmennusohjelman ja ammatillisen koulutuksen osalta.</w:t>
      </w:r>
    </w:p>
    <w:p w14:paraId="770C5B1D" w14:textId="77777777" w:rsidR="00004D93" w:rsidRPr="003A00A5" w:rsidRDefault="00004D93" w:rsidP="003A00A5"/>
    <w:p w14:paraId="301060EC" w14:textId="77777777" w:rsidR="003A00A5" w:rsidRPr="003A00A5" w:rsidRDefault="003A00A5" w:rsidP="003A00A5">
      <w:pPr>
        <w:rPr>
          <w:b/>
        </w:rPr>
      </w:pPr>
      <w:r w:rsidRPr="003A00A5">
        <w:rPr>
          <w:b/>
          <w:lang w:val="fi-FI" w:bidi="fi-FI"/>
        </w:rPr>
        <w:t xml:space="preserve">Rakennuslautakuntien tehtävät </w:t>
      </w:r>
    </w:p>
    <w:p w14:paraId="7F62FB19" w14:textId="77777777" w:rsidR="00885E28" w:rsidRDefault="003A00A5" w:rsidP="00885E28">
      <w:r w:rsidRPr="003A00A5">
        <w:rPr>
          <w:lang w:val="fi-FI" w:bidi="fi-FI"/>
        </w:rPr>
        <w:t xml:space="preserve">• Jatkaa kestävää yhdyskuntasuunnittelua uusien ja kasvavien yritysten, uusien asuntojen ja julkisen toiminnan näkökulmasta. Lähtökohtana on myös kaupunginvaltuuston selvitys 20 000 asunnosta kaudella 2016–2036 sekä sopimus Ruotsin kanssa käytävissä neuvotteluissa 15 300 asunnosta. </w:t>
      </w:r>
    </w:p>
    <w:p w14:paraId="1347E539" w14:textId="77777777" w:rsidR="00885E28" w:rsidRDefault="00885E28" w:rsidP="00885E28">
      <w:r>
        <w:rPr>
          <w:lang w:val="fi-FI" w:bidi="fi-FI"/>
        </w:rPr>
        <w:t>• Jatkaa työskentelyä tehokkaan ja oikeudellisesti varman käsittelyn parissa sekä vahvistaa toimeenpanoa ja sääntöjä entisestään häikäilemättömien toimijoiden poissulkemiseksi.</w:t>
      </w:r>
    </w:p>
    <w:p w14:paraId="483167FD" w14:textId="77777777" w:rsidR="00885E28" w:rsidRDefault="00885E28" w:rsidP="00885E28">
      <w:r>
        <w:rPr>
          <w:lang w:val="fi-FI" w:bidi="fi-FI"/>
        </w:rPr>
        <w:t>• Kehittää ja vahvistaa kohteluun liittyviä seikkoja viranomaistoimissa.</w:t>
      </w:r>
    </w:p>
    <w:p w14:paraId="2A6F3C2A" w14:textId="77777777" w:rsidR="003A00A5" w:rsidRPr="003A00A5" w:rsidRDefault="003A00A5" w:rsidP="003A00A5"/>
    <w:p w14:paraId="0863D647" w14:textId="77777777" w:rsidR="003A00A5" w:rsidRPr="003A00A5" w:rsidRDefault="003A00A5" w:rsidP="003A00A5">
      <w:pPr>
        <w:rPr>
          <w:b/>
        </w:rPr>
      </w:pPr>
      <w:r w:rsidRPr="003A00A5">
        <w:rPr>
          <w:b/>
          <w:lang w:val="fi-FI" w:bidi="fi-FI"/>
        </w:rPr>
        <w:t>Teknisten lautakuntien tehtävät</w:t>
      </w:r>
    </w:p>
    <w:p w14:paraId="79200C0D" w14:textId="77777777" w:rsidR="00885E28" w:rsidRDefault="003A00A5" w:rsidP="00885E28">
      <w:r w:rsidRPr="003A00A5">
        <w:rPr>
          <w:lang w:val="fi-FI" w:bidi="fi-FI"/>
        </w:rPr>
        <w:t>• Tehostaa turvallisten ympäristöjen luomista julkisilla paikoilla.</w:t>
      </w:r>
    </w:p>
    <w:p w14:paraId="5D7B39A5" w14:textId="77777777" w:rsidR="00885E28" w:rsidRDefault="00885E28" w:rsidP="00885E28">
      <w:r>
        <w:rPr>
          <w:lang w:val="fi-FI" w:bidi="fi-FI"/>
        </w:rPr>
        <w:t>• Jatkaa työtä houkuttelevien, sisältörikkaiden ja kutsuvien kohtaamispaikkojen luomiseksi kunnan ulkoilmaympäristöihin, jotka sisältävät paljon ekosysteemipalveluja.</w:t>
      </w:r>
    </w:p>
    <w:p w14:paraId="5B5F5092" w14:textId="77777777" w:rsidR="00885E28" w:rsidRDefault="00885E28" w:rsidP="00885E28">
      <w:r>
        <w:rPr>
          <w:lang w:val="fi-FI" w:bidi="fi-FI"/>
        </w:rPr>
        <w:t>• Stora torgetin kehittäminen keskeiseksi ravintola- ja seuraelämän keskeiseksi kohtaamispaikaksi valmistuu.</w:t>
      </w:r>
    </w:p>
    <w:p w14:paraId="72A2E4E0" w14:textId="77777777" w:rsidR="00885E28" w:rsidRDefault="00885E28" w:rsidP="00885E28">
      <w:r>
        <w:rPr>
          <w:lang w:val="fi-FI" w:bidi="fi-FI"/>
        </w:rPr>
        <w:t>• Tehostaa ensisijaisesti roskauksen ja roskien kaatamisen ehkäisyä ja estämistä.</w:t>
      </w:r>
    </w:p>
    <w:p w14:paraId="6E335E88" w14:textId="77777777" w:rsidR="00885E28" w:rsidRDefault="00885E28" w:rsidP="00885E28">
      <w:r>
        <w:rPr>
          <w:lang w:val="fi-FI" w:bidi="fi-FI"/>
        </w:rPr>
        <w:t>• Työskennellä pitkän aikavälin kestävän maankäytön puolesta.</w:t>
      </w:r>
    </w:p>
    <w:p w14:paraId="43BE7CAB" w14:textId="77777777" w:rsidR="00885E28" w:rsidRDefault="00885E28" w:rsidP="00885E28">
      <w:r>
        <w:rPr>
          <w:lang w:val="fi-FI" w:bidi="fi-FI"/>
        </w:rPr>
        <w:t>• Jatkaa pitkäjänteistä työtä katujen ja pyöräteiden päällysteiden huoltotason käyttöönottamiseksi toiminnan ja käyttöiän varmistamiseksi sekä taustalla olevien teknisten järjestelmien suojaamiseksi.</w:t>
      </w:r>
    </w:p>
    <w:p w14:paraId="7DC1904C" w14:textId="77777777" w:rsidR="00885E28" w:rsidRDefault="00885E28" w:rsidP="00885E28">
      <w:r>
        <w:rPr>
          <w:lang w:val="fi-FI" w:bidi="fi-FI"/>
        </w:rPr>
        <w:t xml:space="preserve">• Jatkaa pyöräilysuunnitelman toimeenpanoa. </w:t>
      </w:r>
    </w:p>
    <w:p w14:paraId="05C9AE32" w14:textId="77777777" w:rsidR="00885E28" w:rsidRDefault="00885E28" w:rsidP="00885E28">
      <w:r>
        <w:rPr>
          <w:lang w:val="fi-FI" w:bidi="fi-FI"/>
        </w:rPr>
        <w:t>• Antaa jatkossakin tukea valtiontukea saaville teille.</w:t>
      </w:r>
    </w:p>
    <w:p w14:paraId="252C6DF0" w14:textId="77777777" w:rsidR="00885E28" w:rsidRDefault="00885E28" w:rsidP="00885E28">
      <w:r>
        <w:rPr>
          <w:lang w:val="fi-FI" w:bidi="fi-FI"/>
        </w:rPr>
        <w:lastRenderedPageBreak/>
        <w:t>• Työskennellä systemaattisesti sähköajoneuvojen latausinfrastruktuurin saatavuuden lisäämiseksi yhdessä konsernin ja yksityisten kiinteistönomistajien kanssa.</w:t>
      </w:r>
    </w:p>
    <w:p w14:paraId="34824563" w14:textId="77777777" w:rsidR="00885E28" w:rsidRDefault="00885E28" w:rsidP="00885E28">
      <w:r>
        <w:rPr>
          <w:lang w:val="fi-FI" w:bidi="fi-FI"/>
        </w:rPr>
        <w:t>• Jatkaa työtä liiketoimintaympäristön parantamiseksi.</w:t>
      </w:r>
    </w:p>
    <w:p w14:paraId="04ACBF76" w14:textId="77777777" w:rsidR="00885E28" w:rsidRDefault="00885E28" w:rsidP="00885E28"/>
    <w:p w14:paraId="7239B2D5" w14:textId="77777777" w:rsidR="003A00A5" w:rsidRPr="003A00A5" w:rsidRDefault="003A00A5" w:rsidP="003A00A5">
      <w:pPr>
        <w:rPr>
          <w:b/>
        </w:rPr>
      </w:pPr>
      <w:r w:rsidRPr="003A00A5">
        <w:rPr>
          <w:b/>
          <w:lang w:val="fi-FI" w:bidi="fi-FI"/>
        </w:rPr>
        <w:t>Kulttuuri- ja vapaa-aikalautakuntien tehtävät</w:t>
      </w:r>
    </w:p>
    <w:p w14:paraId="2A8E9296" w14:textId="77777777" w:rsidR="00885E28" w:rsidRDefault="003A00A5" w:rsidP="00885E28">
      <w:r w:rsidRPr="003A00A5">
        <w:rPr>
          <w:lang w:val="fi-FI" w:bidi="fi-FI"/>
        </w:rPr>
        <w:t>• Selkeä sukupuolten tasa-arvo kulttuurissa ja urheilussa.</w:t>
      </w:r>
    </w:p>
    <w:p w14:paraId="3A9A4C0D" w14:textId="77777777" w:rsidR="00885E28" w:rsidRDefault="00885E28" w:rsidP="00885E28">
      <w:r>
        <w:rPr>
          <w:lang w:val="fi-FI" w:bidi="fi-FI"/>
        </w:rPr>
        <w:t>• Jatkaa kirjastojen kehittämistä selkeällä tavoitteella tavoittaa kaikki asuinpaikasta tai taustasta riippumatta.</w:t>
      </w:r>
    </w:p>
    <w:p w14:paraId="4C64541B" w14:textId="77777777" w:rsidR="00885E28" w:rsidRDefault="00885E28" w:rsidP="00885E28">
      <w:r>
        <w:rPr>
          <w:lang w:val="fi-FI" w:bidi="fi-FI"/>
        </w:rPr>
        <w:t>• Jatkaa vapaa-ajankeskusten työn kehittämistä ammatillisella rakenteella tasa-arvonäkökulmasta niin, että kaikille luodaan houkuttelevia ja kutsuvia ympäristöjä.</w:t>
      </w:r>
    </w:p>
    <w:p w14:paraId="3FFB714A" w14:textId="77777777" w:rsidR="00885E28" w:rsidRDefault="00885E28" w:rsidP="00885E28">
      <w:r>
        <w:rPr>
          <w:lang w:val="fi-FI" w:bidi="fi-FI"/>
        </w:rPr>
        <w:t>• Vahvistaa spontaanin urheilun ja harjoittelun mahdollisuuksia jatkamalla liikuntapaikkojen, ulkoilmavirkistysalueiden ja tilojen kehittämistä.</w:t>
      </w:r>
    </w:p>
    <w:p w14:paraId="2C3609C9" w14:textId="77777777" w:rsidR="00885E28" w:rsidRDefault="00885E28" w:rsidP="00885E28">
      <w:r>
        <w:rPr>
          <w:lang w:val="fi-FI" w:bidi="fi-FI"/>
        </w:rPr>
        <w:t>• Jatkaa työtä kulttuurikoulun menestystekijöiden tunnistamiseksi ja vahvistamiseksi työssä sekä syvällisemmin että laajemmin opetuksessa.</w:t>
      </w:r>
    </w:p>
    <w:p w14:paraId="30223F0F" w14:textId="77777777" w:rsidR="003A00A5" w:rsidRPr="003A00A5" w:rsidRDefault="003A00A5" w:rsidP="00885E28"/>
    <w:p w14:paraId="2CD9F087" w14:textId="77777777" w:rsidR="003A00A5" w:rsidRPr="003A00A5" w:rsidRDefault="003A00A5" w:rsidP="003A00A5">
      <w:pPr>
        <w:rPr>
          <w:b/>
        </w:rPr>
      </w:pPr>
      <w:r w:rsidRPr="003A00A5">
        <w:rPr>
          <w:b/>
          <w:lang w:val="fi-FI" w:bidi="fi-FI"/>
        </w:rPr>
        <w:t>Vanhustenhuoltolautakunnan tehtävät</w:t>
      </w:r>
    </w:p>
    <w:p w14:paraId="3FED28DC" w14:textId="77777777" w:rsidR="00885E28" w:rsidRDefault="003A00A5" w:rsidP="00885E28">
      <w:r w:rsidRPr="003A00A5">
        <w:rPr>
          <w:lang w:val="fi-FI" w:bidi="fi-FI"/>
        </w:rPr>
        <w:t xml:space="preserve">• Ottaa oma osansa vastuusta hoitolaitosten riittävästä laajentamisesta sekä turva-asunnoista. </w:t>
      </w:r>
    </w:p>
    <w:p w14:paraId="08455425" w14:textId="77777777" w:rsidR="00885E28" w:rsidRDefault="00885E28" w:rsidP="00885E28">
      <w:r>
        <w:rPr>
          <w:lang w:val="fi-FI" w:bidi="fi-FI"/>
        </w:rPr>
        <w:t>• Työskennellä systemaattisen laatutyön kautta kotihoidon palvelun toteutusasteen ja laadun parantamiseksi.</w:t>
      </w:r>
    </w:p>
    <w:p w14:paraId="66B9C936" w14:textId="77777777" w:rsidR="00885E28" w:rsidRDefault="00885E28" w:rsidP="00885E28">
      <w:r>
        <w:rPr>
          <w:lang w:val="fi-FI" w:bidi="fi-FI"/>
        </w:rPr>
        <w:t>• Kehittää vanhustenhuollon ruoka- ja ateriakokemusta.</w:t>
      </w:r>
    </w:p>
    <w:p w14:paraId="0068F82F" w14:textId="77777777" w:rsidR="00885E28" w:rsidRDefault="00885E28" w:rsidP="00885E28">
      <w:r>
        <w:rPr>
          <w:lang w:val="fi-FI" w:bidi="fi-FI"/>
        </w:rPr>
        <w:t>• Vahvistaa terveyden edistämis- ja ennaltaehkäisytyötä tahattoman yksinäisyyden vähentämiseksi.</w:t>
      </w:r>
    </w:p>
    <w:p w14:paraId="5605D533" w14:textId="77777777" w:rsidR="00885E28" w:rsidRDefault="00885E28" w:rsidP="00885E28">
      <w:r>
        <w:rPr>
          <w:lang w:val="fi-FI" w:bidi="fi-FI"/>
        </w:rPr>
        <w:t>• Edistää hoitohenkilöstön osaamista ja kielitasoa kehittämistoimien avulla</w:t>
      </w:r>
    </w:p>
    <w:p w14:paraId="38D0F339" w14:textId="77777777" w:rsidR="00885E28" w:rsidRDefault="00885E28" w:rsidP="00885E28"/>
    <w:p w14:paraId="430FB6EF" w14:textId="77777777" w:rsidR="003A00A5" w:rsidRPr="003A00A5" w:rsidRDefault="003A00A5" w:rsidP="003A00A5">
      <w:pPr>
        <w:rPr>
          <w:b/>
        </w:rPr>
      </w:pPr>
      <w:r w:rsidRPr="003A00A5">
        <w:rPr>
          <w:b/>
          <w:lang w:val="fi-FI" w:bidi="fi-FI"/>
        </w:rPr>
        <w:t>Kehitysvammaislautakunnan tehtävät</w:t>
      </w:r>
    </w:p>
    <w:p w14:paraId="4CE9D7E0" w14:textId="77777777" w:rsidR="00885E28" w:rsidRDefault="003A00A5" w:rsidP="00885E28">
      <w:r w:rsidRPr="003A00A5">
        <w:rPr>
          <w:lang w:val="fi-FI" w:bidi="fi-FI"/>
        </w:rPr>
        <w:t>• Pyrkiä varmistamaan, että kaikki lapset, nuoret ja aikuiset voivat mahdollisuuksien mukaan elää itsenäisesti omien edellytystensä</w:t>
      </w:r>
    </w:p>
    <w:p w14:paraId="420B792D" w14:textId="77777777" w:rsidR="00004D93" w:rsidRDefault="00885E28" w:rsidP="00885E28">
      <w:r>
        <w:rPr>
          <w:lang w:val="fi-FI" w:bidi="fi-FI"/>
        </w:rPr>
        <w:t>mukaisesti.</w:t>
      </w:r>
    </w:p>
    <w:p w14:paraId="4D349428" w14:textId="77777777" w:rsidR="005C65FB" w:rsidRPr="003A00A5" w:rsidRDefault="005C65FB" w:rsidP="00885E28"/>
    <w:p w14:paraId="75249014" w14:textId="77777777" w:rsidR="003A00A5" w:rsidRPr="003A00A5" w:rsidRDefault="003A00A5" w:rsidP="003A00A5">
      <w:pPr>
        <w:rPr>
          <w:b/>
        </w:rPr>
      </w:pPr>
      <w:r w:rsidRPr="003A00A5">
        <w:rPr>
          <w:b/>
          <w:lang w:val="fi-FI" w:bidi="fi-FI"/>
        </w:rPr>
        <w:t>Sosiaalilautakunnan tehtävät</w:t>
      </w:r>
    </w:p>
    <w:p w14:paraId="16B84F65" w14:textId="77777777" w:rsidR="005C65FB" w:rsidRDefault="003A00A5" w:rsidP="005C65FB">
      <w:r w:rsidRPr="003A00A5">
        <w:rPr>
          <w:lang w:val="fi-FI" w:bidi="fi-FI"/>
        </w:rPr>
        <w:t xml:space="preserve">• Vahvistaa ennaltaehkäisevää työtä lasten ja nuorten parissa, jotta sosiaaliset ongelmat tunnistetaan ajoissa ja lasten kasvuoloihin voidaan panostaa varhain. </w:t>
      </w:r>
    </w:p>
    <w:p w14:paraId="37CAA08C" w14:textId="77777777" w:rsidR="005C65FB" w:rsidRDefault="005C65FB" w:rsidP="005C65FB">
      <w:r>
        <w:rPr>
          <w:lang w:val="fi-FI" w:bidi="fi-FI"/>
        </w:rPr>
        <w:t>• Myötävaikuttaa siihen, että lautakunnan toimintaan sisältyvät henkilöt voivat osallistua työvoimaviranomaisen toimiin ja omaan toimeentuloon.</w:t>
      </w:r>
    </w:p>
    <w:p w14:paraId="737DDFF1" w14:textId="77777777" w:rsidR="005C65FB" w:rsidRDefault="005C65FB" w:rsidP="005C65FB">
      <w:r>
        <w:rPr>
          <w:lang w:val="fi-FI" w:bidi="fi-FI"/>
        </w:rPr>
        <w:t>• Pyrkiä perustamaan uusi perhekeskus Hovsjöhön.</w:t>
      </w:r>
    </w:p>
    <w:p w14:paraId="3F050C86" w14:textId="77777777" w:rsidR="003A00A5" w:rsidRDefault="005C65FB" w:rsidP="005C65FB">
      <w:r>
        <w:rPr>
          <w:lang w:val="fi-FI" w:bidi="fi-FI"/>
        </w:rPr>
        <w:t>• Vastata siitä, että Södertäljen kunta varmistaa vakaan ja pitkäaikaisen yhteistyön Södertäljen tukipalveluiden kanssa.</w:t>
      </w:r>
    </w:p>
    <w:p w14:paraId="3FBE40C7" w14:textId="77777777" w:rsidR="00004D93" w:rsidRPr="003A00A5" w:rsidRDefault="00004D93" w:rsidP="003A00A5"/>
    <w:p w14:paraId="00C7F2CE" w14:textId="77777777" w:rsidR="003A00A5" w:rsidRPr="003A00A5" w:rsidRDefault="003A00A5" w:rsidP="003A00A5">
      <w:pPr>
        <w:rPr>
          <w:b/>
        </w:rPr>
      </w:pPr>
      <w:r w:rsidRPr="003A00A5">
        <w:rPr>
          <w:b/>
          <w:lang w:val="fi-FI" w:bidi="fi-FI"/>
        </w:rPr>
        <w:t>Ympäristölautakunnan tehtävät</w:t>
      </w:r>
    </w:p>
    <w:p w14:paraId="11BA7A84" w14:textId="77777777" w:rsidR="005C65FB" w:rsidRDefault="003A00A5" w:rsidP="005C65FB">
      <w:r w:rsidRPr="003A00A5">
        <w:rPr>
          <w:lang w:val="fi-FI" w:bidi="fi-FI"/>
        </w:rPr>
        <w:t>• Kehittää luonnonsuojelua niin, että luonto on entistä useamman ihmisen ulottuvilla ja nostaa virkistystoiminnan ja ulkoilun tavoitetasoa.</w:t>
      </w:r>
    </w:p>
    <w:p w14:paraId="39FADDD7" w14:textId="77777777" w:rsidR="005C65FB" w:rsidRDefault="005C65FB" w:rsidP="005C65FB">
      <w:r>
        <w:rPr>
          <w:lang w:val="fi-FI" w:bidi="fi-FI"/>
        </w:rPr>
        <w:t>• Kehittää edelleen luontokoulua, jotta tavoitetaan enemmän ihmisiä koulun sisällä ja pyrkiä myös tavoittamaan uusia kohderyhmiä, jotta kynnys luontoon tutustumiseen alenee monille</w:t>
      </w:r>
    </w:p>
    <w:p w14:paraId="681D55CF" w14:textId="77777777" w:rsidR="005C65FB" w:rsidRDefault="005C65FB" w:rsidP="005C65FB">
      <w:r>
        <w:rPr>
          <w:lang w:val="fi-FI" w:bidi="fi-FI"/>
        </w:rPr>
        <w:t>• Kehittää kunnan työtä vesimuodostumien parissa tavoitteena hyvä ekologinen tila.</w:t>
      </w:r>
    </w:p>
    <w:p w14:paraId="4871E07B" w14:textId="77777777" w:rsidR="00A37148" w:rsidRDefault="005C65FB" w:rsidP="005C65FB">
      <w:r>
        <w:rPr>
          <w:lang w:val="fi-FI" w:bidi="fi-FI"/>
        </w:rPr>
        <w:t>• Suorittaa valvontaa tehokkaasti ja laillisella tavalla sekä hyvää kohtelua noudattaen.</w:t>
      </w:r>
    </w:p>
    <w:p w14:paraId="53BDB94E" w14:textId="77777777" w:rsidR="00A37148" w:rsidRDefault="00A37148" w:rsidP="003A00A5"/>
    <w:p w14:paraId="307AD162" w14:textId="77777777" w:rsidR="00A37148" w:rsidRDefault="00A37148" w:rsidP="003A00A5"/>
    <w:p w14:paraId="72BF7397" w14:textId="77777777" w:rsidR="00A37148" w:rsidRDefault="00A37148" w:rsidP="003A00A5"/>
    <w:p w14:paraId="35C263A3" w14:textId="77777777" w:rsidR="00A37148" w:rsidRDefault="00A37148" w:rsidP="003A00A5"/>
    <w:p w14:paraId="7D7540BF" w14:textId="77777777" w:rsidR="00A37148" w:rsidRDefault="00A37148" w:rsidP="003A00A5"/>
    <w:p w14:paraId="1641EC1B" w14:textId="77777777" w:rsidR="00A37148" w:rsidRDefault="00A37148" w:rsidP="003A00A5"/>
    <w:p w14:paraId="7A0B8014" w14:textId="77777777" w:rsidR="00A37148" w:rsidRDefault="00A37148" w:rsidP="003A00A5"/>
    <w:p w14:paraId="263D68EB" w14:textId="77777777" w:rsidR="004819B6" w:rsidRPr="00FD30E9" w:rsidRDefault="003D3278" w:rsidP="003D3278">
      <w:pPr>
        <w:pStyle w:val="Rubrik1Nr"/>
        <w:rPr>
          <w:color w:val="0D6FB5"/>
        </w:rPr>
      </w:pPr>
      <w:r w:rsidRPr="00FD30E9">
        <w:rPr>
          <w:color w:val="0D6FB5"/>
          <w:lang w:val="fi-FI" w:bidi="fi-FI"/>
        </w:rPr>
        <w:t>Seuranta</w:t>
      </w:r>
    </w:p>
    <w:tbl>
      <w:tblPr>
        <w:tblStyle w:val="Tabellrutnt1"/>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34"/>
        <w:gridCol w:w="2912"/>
        <w:gridCol w:w="3313"/>
      </w:tblGrid>
      <w:tr w:rsidR="003D3278" w:rsidRPr="004D55C2" w14:paraId="3D4E0E01" w14:textId="77777777" w:rsidTr="005F0A60">
        <w:trPr>
          <w:trHeight w:val="418"/>
        </w:trPr>
        <w:tc>
          <w:tcPr>
            <w:tcW w:w="2525" w:type="dxa"/>
            <w:shd w:val="clear" w:color="auto" w:fill="0070C0"/>
            <w:vAlign w:val="center"/>
          </w:tcPr>
          <w:p w14:paraId="1CEEB758" w14:textId="77777777" w:rsidR="003D3278" w:rsidRPr="004D55C2" w:rsidRDefault="003D3278" w:rsidP="005F0A60">
            <w:pPr>
              <w:spacing w:before="5" w:line="240" w:lineRule="auto"/>
              <w:rPr>
                <w:rFonts w:ascii="Calibri" w:hAnsi="Calibri"/>
                <w:b/>
                <w:color w:val="FFFFFF"/>
                <w:sz w:val="18"/>
                <w:szCs w:val="18"/>
              </w:rPr>
            </w:pPr>
            <w:r w:rsidRPr="004D55C2">
              <w:rPr>
                <w:rFonts w:ascii="Calibri" w:hAnsi="Calibri" w:cs="Calibri"/>
                <w:b/>
                <w:color w:val="FFFFFF"/>
                <w:sz w:val="18"/>
                <w:szCs w:val="18"/>
                <w:lang w:val="fi-FI" w:bidi="fi-FI"/>
              </w:rPr>
              <w:t>Seuranta</w:t>
            </w:r>
          </w:p>
        </w:tc>
        <w:tc>
          <w:tcPr>
            <w:tcW w:w="3284" w:type="dxa"/>
            <w:shd w:val="clear" w:color="auto" w:fill="0070C0"/>
            <w:vAlign w:val="center"/>
          </w:tcPr>
          <w:p w14:paraId="0CFC78BF" w14:textId="77777777" w:rsidR="003D3278" w:rsidRPr="004D55C2" w:rsidRDefault="003D3278" w:rsidP="005F0A60">
            <w:pPr>
              <w:spacing w:before="5" w:line="240" w:lineRule="auto"/>
              <w:rPr>
                <w:rFonts w:ascii="Calibri" w:hAnsi="Calibri"/>
                <w:b/>
                <w:color w:val="FFFFFF"/>
                <w:sz w:val="18"/>
                <w:szCs w:val="18"/>
              </w:rPr>
            </w:pPr>
            <w:r w:rsidRPr="004D55C2">
              <w:rPr>
                <w:rFonts w:ascii="Calibri" w:hAnsi="Calibri" w:cs="Calibri"/>
                <w:b/>
                <w:color w:val="FFFFFF"/>
                <w:sz w:val="18"/>
                <w:szCs w:val="18"/>
                <w:lang w:val="fi-FI" w:bidi="fi-FI"/>
              </w:rPr>
              <w:t>Laajuus</w:t>
            </w:r>
          </w:p>
        </w:tc>
        <w:tc>
          <w:tcPr>
            <w:tcW w:w="1928" w:type="dxa"/>
            <w:shd w:val="clear" w:color="auto" w:fill="0070C0"/>
            <w:vAlign w:val="center"/>
          </w:tcPr>
          <w:p w14:paraId="4CB0FFB1" w14:textId="77777777" w:rsidR="003D3278" w:rsidRPr="004D55C2" w:rsidRDefault="003D3278" w:rsidP="005F0A60">
            <w:pPr>
              <w:spacing w:before="5" w:line="240" w:lineRule="auto"/>
              <w:rPr>
                <w:rFonts w:ascii="Calibri" w:hAnsi="Calibri"/>
                <w:b/>
                <w:color w:val="FFFFFF"/>
                <w:sz w:val="18"/>
                <w:szCs w:val="18"/>
              </w:rPr>
            </w:pPr>
            <w:r w:rsidRPr="004D55C2">
              <w:rPr>
                <w:rFonts w:ascii="Calibri" w:hAnsi="Calibri" w:cs="Calibri"/>
                <w:b/>
                <w:color w:val="FFFFFF"/>
                <w:sz w:val="18"/>
                <w:szCs w:val="18"/>
                <w:lang w:val="fi-FI" w:bidi="fi-FI"/>
              </w:rPr>
              <w:t>Käsittely kunnanhallituksessa/kunnanvaltuustossa</w:t>
            </w:r>
          </w:p>
        </w:tc>
      </w:tr>
      <w:tr w:rsidR="003D3278" w:rsidRPr="004D55C2" w14:paraId="72328456" w14:textId="77777777" w:rsidTr="00C01836">
        <w:tc>
          <w:tcPr>
            <w:tcW w:w="2525" w:type="dxa"/>
          </w:tcPr>
          <w:p w14:paraId="767C1AFF"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Kuukausiraportti</w:t>
            </w:r>
          </w:p>
        </w:tc>
        <w:tc>
          <w:tcPr>
            <w:tcW w:w="3284" w:type="dxa"/>
          </w:tcPr>
          <w:p w14:paraId="1224924A"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 xml:space="preserve">-Taloudellinen seuranta kuukausittaisten tilitietojen perusteella </w:t>
            </w:r>
          </w:p>
          <w:p w14:paraId="200CD8DB" w14:textId="77777777" w:rsidR="003D3278" w:rsidRPr="004D55C2" w:rsidRDefault="003D3278" w:rsidP="005F0A60">
            <w:pPr>
              <w:spacing w:before="5" w:line="240" w:lineRule="auto"/>
              <w:rPr>
                <w:rFonts w:ascii="Calibri" w:hAnsi="Calibri"/>
                <w:sz w:val="16"/>
                <w:szCs w:val="16"/>
              </w:rPr>
            </w:pPr>
          </w:p>
        </w:tc>
        <w:tc>
          <w:tcPr>
            <w:tcW w:w="1928" w:type="dxa"/>
            <w:shd w:val="clear" w:color="auto" w:fill="auto"/>
          </w:tcPr>
          <w:p w14:paraId="27E81756" w14:textId="77777777" w:rsidR="003D3278" w:rsidRPr="00C01836" w:rsidRDefault="003D3278" w:rsidP="00C01836">
            <w:pPr>
              <w:spacing w:before="5" w:line="240" w:lineRule="auto"/>
              <w:rPr>
                <w:rFonts w:ascii="Calibri" w:hAnsi="Calibri"/>
                <w:sz w:val="16"/>
                <w:szCs w:val="16"/>
              </w:rPr>
            </w:pPr>
            <w:r w:rsidRPr="00C01836">
              <w:rPr>
                <w:rFonts w:ascii="Calibri" w:hAnsi="Calibri" w:cs="Calibri"/>
                <w:sz w:val="16"/>
                <w:szCs w:val="16"/>
                <w:lang w:val="fi-FI" w:bidi="fi-FI"/>
              </w:rPr>
              <w:t>Kunnanhallitus maaliskuu</w:t>
            </w:r>
          </w:p>
          <w:p w14:paraId="0DD4068D" w14:textId="77777777" w:rsidR="003D3278" w:rsidRPr="00C01836" w:rsidRDefault="003D3278" w:rsidP="005F0A60">
            <w:pPr>
              <w:spacing w:before="5" w:line="240" w:lineRule="auto"/>
              <w:rPr>
                <w:rFonts w:ascii="Calibri" w:hAnsi="Calibri"/>
                <w:sz w:val="16"/>
                <w:szCs w:val="16"/>
              </w:rPr>
            </w:pPr>
            <w:r w:rsidRPr="00C01836">
              <w:rPr>
                <w:rFonts w:ascii="Calibri" w:hAnsi="Calibri" w:cs="Calibri"/>
                <w:sz w:val="16"/>
                <w:szCs w:val="16"/>
                <w:lang w:val="fi-FI" w:bidi="fi-FI"/>
              </w:rPr>
              <w:t>Kunnanhallitus huhtikuu</w:t>
            </w:r>
          </w:p>
          <w:p w14:paraId="1A0C0D91" w14:textId="77777777" w:rsidR="003D3278" w:rsidRPr="00C01836" w:rsidRDefault="003D3278" w:rsidP="005F0A60">
            <w:pPr>
              <w:spacing w:before="5" w:line="240" w:lineRule="auto"/>
              <w:rPr>
                <w:rFonts w:ascii="Calibri" w:hAnsi="Calibri"/>
                <w:sz w:val="16"/>
                <w:szCs w:val="16"/>
              </w:rPr>
            </w:pPr>
            <w:r w:rsidRPr="00C01836">
              <w:rPr>
                <w:rFonts w:ascii="Calibri" w:hAnsi="Calibri" w:cs="Calibri"/>
                <w:sz w:val="16"/>
                <w:szCs w:val="16"/>
                <w:lang w:val="fi-FI" w:bidi="fi-FI"/>
              </w:rPr>
              <w:t>Kunnanhallitus syyskuu</w:t>
            </w:r>
          </w:p>
          <w:p w14:paraId="5B712BF2" w14:textId="77777777" w:rsidR="003D3278" w:rsidRPr="00C01836" w:rsidRDefault="003D3278" w:rsidP="005F0A60">
            <w:pPr>
              <w:spacing w:before="5" w:line="240" w:lineRule="auto"/>
              <w:rPr>
                <w:rFonts w:ascii="Calibri" w:hAnsi="Calibri"/>
                <w:sz w:val="16"/>
                <w:szCs w:val="16"/>
              </w:rPr>
            </w:pPr>
            <w:r w:rsidRPr="00C01836">
              <w:rPr>
                <w:rFonts w:ascii="Calibri" w:hAnsi="Calibri" w:cs="Calibri"/>
                <w:sz w:val="16"/>
                <w:szCs w:val="16"/>
                <w:lang w:val="fi-FI" w:bidi="fi-FI"/>
              </w:rPr>
              <w:t>Kunnanhallitus lokakuu</w:t>
            </w:r>
          </w:p>
          <w:p w14:paraId="1FAFCC91" w14:textId="77777777" w:rsidR="003D3278" w:rsidRPr="00C01836" w:rsidRDefault="003D3278" w:rsidP="005F0A60">
            <w:pPr>
              <w:spacing w:before="5" w:line="240" w:lineRule="auto"/>
              <w:rPr>
                <w:rFonts w:ascii="Calibri" w:hAnsi="Calibri"/>
                <w:sz w:val="16"/>
                <w:szCs w:val="16"/>
              </w:rPr>
            </w:pPr>
            <w:r w:rsidRPr="00C01836">
              <w:rPr>
                <w:rFonts w:ascii="Calibri" w:hAnsi="Calibri" w:cs="Calibri"/>
                <w:sz w:val="16"/>
                <w:szCs w:val="16"/>
                <w:lang w:val="fi-FI" w:bidi="fi-FI"/>
              </w:rPr>
              <w:t>Kunnanhallitus marraskuu</w:t>
            </w:r>
          </w:p>
          <w:p w14:paraId="36478E80" w14:textId="77777777" w:rsidR="003D3278" w:rsidRPr="00C01836" w:rsidRDefault="003D3278" w:rsidP="005F0A60">
            <w:pPr>
              <w:spacing w:before="5" w:line="240" w:lineRule="auto"/>
              <w:rPr>
                <w:rFonts w:ascii="Calibri" w:hAnsi="Calibri"/>
                <w:sz w:val="16"/>
                <w:szCs w:val="16"/>
              </w:rPr>
            </w:pPr>
          </w:p>
        </w:tc>
      </w:tr>
      <w:tr w:rsidR="003D3278" w:rsidRPr="004D55C2" w14:paraId="59520F37" w14:textId="77777777" w:rsidTr="005F0A60">
        <w:tc>
          <w:tcPr>
            <w:tcW w:w="2525" w:type="dxa"/>
          </w:tcPr>
          <w:p w14:paraId="170BCE28" w14:textId="77777777" w:rsidR="003D3278" w:rsidRPr="004D55C2" w:rsidRDefault="003D3278" w:rsidP="005F0A60">
            <w:pPr>
              <w:spacing w:before="5" w:line="240" w:lineRule="auto"/>
              <w:rPr>
                <w:rFonts w:ascii="Calibri" w:hAnsi="Calibri"/>
                <w:sz w:val="16"/>
                <w:szCs w:val="16"/>
              </w:rPr>
            </w:pPr>
            <w:r>
              <w:rPr>
                <w:rFonts w:ascii="Calibri" w:hAnsi="Calibri" w:cs="Calibri"/>
                <w:sz w:val="16"/>
                <w:szCs w:val="16"/>
                <w:lang w:val="fi-FI" w:bidi="fi-FI"/>
              </w:rPr>
              <w:t>Osavuosikatsaus 1 huhtikuun viimeisenä päivänä</w:t>
            </w:r>
          </w:p>
        </w:tc>
        <w:tc>
          <w:tcPr>
            <w:tcW w:w="3284" w:type="dxa"/>
          </w:tcPr>
          <w:p w14:paraId="3AF09233" w14:textId="77777777" w:rsidR="003D3278" w:rsidRPr="004D55C2" w:rsidRDefault="003D3278" w:rsidP="005F0A60">
            <w:pPr>
              <w:spacing w:before="5" w:line="240" w:lineRule="auto"/>
              <w:rPr>
                <w:rFonts w:ascii="Calibri" w:hAnsi="Calibri"/>
                <w:sz w:val="16"/>
                <w:szCs w:val="16"/>
              </w:rPr>
            </w:pPr>
            <w:r w:rsidRPr="00D4503B">
              <w:rPr>
                <w:rFonts w:ascii="Calibri" w:hAnsi="Calibri" w:cs="Calibri"/>
                <w:sz w:val="16"/>
                <w:szCs w:val="16"/>
                <w:lang w:val="fi-FI" w:bidi="fi-FI"/>
              </w:rPr>
              <w:t>-Taloudellinen seuranta mukaan lukien koko vuoden ennuste</w:t>
            </w:r>
          </w:p>
        </w:tc>
        <w:tc>
          <w:tcPr>
            <w:tcW w:w="1928" w:type="dxa"/>
          </w:tcPr>
          <w:p w14:paraId="3A2574D0" w14:textId="77777777" w:rsidR="003D3278" w:rsidRDefault="003D3278" w:rsidP="005F0A60">
            <w:pPr>
              <w:spacing w:before="5" w:line="240" w:lineRule="auto"/>
              <w:rPr>
                <w:rFonts w:ascii="Calibri" w:hAnsi="Calibri"/>
                <w:sz w:val="16"/>
                <w:szCs w:val="16"/>
              </w:rPr>
            </w:pPr>
            <w:r>
              <w:rPr>
                <w:rFonts w:ascii="Calibri" w:hAnsi="Calibri" w:cs="Calibri"/>
                <w:sz w:val="16"/>
                <w:szCs w:val="16"/>
                <w:lang w:val="fi-FI" w:bidi="fi-FI"/>
              </w:rPr>
              <w:t>Kunnanhallitus toukokuu</w:t>
            </w:r>
          </w:p>
          <w:p w14:paraId="49FF1193" w14:textId="77777777" w:rsidR="003D3278" w:rsidRPr="004D55C2" w:rsidRDefault="003D3278" w:rsidP="005F0A60">
            <w:pPr>
              <w:spacing w:before="5" w:line="240" w:lineRule="auto"/>
              <w:rPr>
                <w:rFonts w:ascii="Calibri" w:hAnsi="Calibri"/>
                <w:sz w:val="16"/>
                <w:szCs w:val="16"/>
              </w:rPr>
            </w:pPr>
            <w:r>
              <w:rPr>
                <w:rFonts w:ascii="Calibri" w:hAnsi="Calibri" w:cs="Calibri"/>
                <w:sz w:val="16"/>
                <w:szCs w:val="16"/>
                <w:lang w:val="fi-FI" w:bidi="fi-FI"/>
              </w:rPr>
              <w:t>Kunnanvaltuusto kesäkuu</w:t>
            </w:r>
          </w:p>
        </w:tc>
      </w:tr>
      <w:tr w:rsidR="003D3278" w:rsidRPr="004D55C2" w14:paraId="6AB68468" w14:textId="77777777" w:rsidTr="005F0A60">
        <w:tc>
          <w:tcPr>
            <w:tcW w:w="2525" w:type="dxa"/>
          </w:tcPr>
          <w:p w14:paraId="3C1E9084"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Osavuosikatsaus 31. elokuuta mukaan lukien koko vuoden ennuste</w:t>
            </w:r>
          </w:p>
        </w:tc>
        <w:tc>
          <w:tcPr>
            <w:tcW w:w="3284" w:type="dxa"/>
          </w:tcPr>
          <w:p w14:paraId="7B9AE221" w14:textId="77777777" w:rsidR="003D3278" w:rsidRPr="004D55C2" w:rsidRDefault="003D3278" w:rsidP="005F0A60">
            <w:pPr>
              <w:spacing w:before="5" w:line="240" w:lineRule="auto"/>
              <w:ind w:left="41" w:hanging="41"/>
              <w:rPr>
                <w:rFonts w:ascii="Calibri" w:hAnsi="Calibri"/>
                <w:sz w:val="16"/>
                <w:szCs w:val="16"/>
              </w:rPr>
            </w:pPr>
            <w:r w:rsidRPr="004D55C2">
              <w:rPr>
                <w:rFonts w:ascii="Calibri" w:hAnsi="Calibri" w:cs="Calibri"/>
                <w:sz w:val="16"/>
                <w:szCs w:val="16"/>
                <w:lang w:val="fi-FI" w:bidi="fi-FI"/>
              </w:rPr>
              <w:t>-Toiminnan taloudellinen seuranta mukaan lukien taloudellinen analyysi ja koko vuoden ennuste</w:t>
            </w:r>
          </w:p>
          <w:p w14:paraId="7FE20572"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-Investointien seuranta</w:t>
            </w:r>
          </w:p>
          <w:p w14:paraId="1CF7D130"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-Järkevän taloudenhoidon ennuste</w:t>
            </w:r>
          </w:p>
          <w:p w14:paraId="6A20F221"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 Kunnanvaltuuston tavoitteiden seuranta</w:t>
            </w:r>
          </w:p>
          <w:p w14:paraId="0CF5D813"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-Yritysryhmän talousraportti</w:t>
            </w:r>
          </w:p>
          <w:p w14:paraId="4E6EFC96" w14:textId="77777777" w:rsidR="003D3278" w:rsidRPr="004D55C2" w:rsidRDefault="003D3278" w:rsidP="005F0A60">
            <w:pPr>
              <w:spacing w:before="5" w:line="240" w:lineRule="auto"/>
              <w:rPr>
                <w:rFonts w:ascii="Calibri" w:hAnsi="Calibri"/>
                <w:sz w:val="16"/>
                <w:szCs w:val="16"/>
              </w:rPr>
            </w:pPr>
          </w:p>
        </w:tc>
        <w:tc>
          <w:tcPr>
            <w:tcW w:w="1928" w:type="dxa"/>
          </w:tcPr>
          <w:p w14:paraId="12DCDC5D" w14:textId="77777777" w:rsidR="003D3278" w:rsidRPr="00C01836" w:rsidRDefault="003D3278" w:rsidP="005F0A60">
            <w:pPr>
              <w:spacing w:before="5" w:line="240" w:lineRule="auto"/>
              <w:rPr>
                <w:rFonts w:ascii="Calibri" w:hAnsi="Calibri"/>
                <w:sz w:val="16"/>
                <w:szCs w:val="16"/>
              </w:rPr>
            </w:pPr>
            <w:r w:rsidRPr="00C01836">
              <w:rPr>
                <w:rFonts w:ascii="Calibri" w:hAnsi="Calibri" w:cs="Calibri"/>
                <w:sz w:val="16"/>
                <w:szCs w:val="16"/>
                <w:lang w:val="fi-FI" w:bidi="fi-FI"/>
              </w:rPr>
              <w:t>Kunnanhallitus lokakuu</w:t>
            </w:r>
          </w:p>
          <w:p w14:paraId="3DFE9568" w14:textId="77777777" w:rsidR="003D3278" w:rsidRPr="004D55C2" w:rsidRDefault="003D3278" w:rsidP="005F0A60">
            <w:pPr>
              <w:spacing w:before="5" w:line="240" w:lineRule="auto"/>
              <w:rPr>
                <w:rFonts w:ascii="Calibri" w:hAnsi="Calibri"/>
                <w:sz w:val="16"/>
                <w:szCs w:val="16"/>
              </w:rPr>
            </w:pPr>
            <w:r w:rsidRPr="00C01836">
              <w:rPr>
                <w:rFonts w:ascii="Calibri" w:hAnsi="Calibri" w:cs="Calibri"/>
                <w:sz w:val="16"/>
                <w:szCs w:val="16"/>
                <w:lang w:val="fi-FI" w:bidi="fi-FI"/>
              </w:rPr>
              <w:t>Kunnanvaltuusto marraskuu</w:t>
            </w:r>
          </w:p>
        </w:tc>
      </w:tr>
      <w:tr w:rsidR="003D3278" w:rsidRPr="004D55C2" w14:paraId="7956964D" w14:textId="77777777" w:rsidTr="005F0A60">
        <w:tc>
          <w:tcPr>
            <w:tcW w:w="2525" w:type="dxa"/>
          </w:tcPr>
          <w:p w14:paraId="77026A83"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Tilinpäätös 31. joulukuuta</w:t>
            </w:r>
          </w:p>
        </w:tc>
        <w:tc>
          <w:tcPr>
            <w:tcW w:w="3284" w:type="dxa"/>
          </w:tcPr>
          <w:p w14:paraId="32BD1089" w14:textId="77777777" w:rsidR="003D3278" w:rsidRPr="004D55C2" w:rsidRDefault="003D3278" w:rsidP="005F0A60">
            <w:pPr>
              <w:spacing w:before="5" w:line="240" w:lineRule="auto"/>
              <w:ind w:left="41" w:hanging="41"/>
              <w:rPr>
                <w:rFonts w:ascii="Calibri" w:hAnsi="Calibri"/>
                <w:sz w:val="16"/>
                <w:szCs w:val="16"/>
              </w:rPr>
            </w:pPr>
            <w:r w:rsidRPr="004D55C2">
              <w:rPr>
                <w:rFonts w:ascii="Calibri" w:hAnsi="Calibri" w:cs="Calibri"/>
                <w:sz w:val="16"/>
                <w:szCs w:val="16"/>
                <w:lang w:val="fi-FI" w:bidi="fi-FI"/>
              </w:rPr>
              <w:t>-Toiminnan taloudellinen seuranta mukaan lukien taloudellinen analyysi</w:t>
            </w:r>
          </w:p>
          <w:p w14:paraId="1A3035CF"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-Investointien seuranta</w:t>
            </w:r>
          </w:p>
          <w:p w14:paraId="468CF81A"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-Järkevän taloudenhoidon seuranta</w:t>
            </w:r>
          </w:p>
          <w:p w14:paraId="2916D63D"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 Kunnanvaltuuston tavoitteiden seuranta</w:t>
            </w:r>
          </w:p>
          <w:p w14:paraId="6C259F00"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-Konsernin vuosikertomus</w:t>
            </w:r>
          </w:p>
          <w:p w14:paraId="7A51AFB8"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-Sisäisen valvonnan seuranta</w:t>
            </w:r>
          </w:p>
          <w:p w14:paraId="2ACF1544" w14:textId="77777777" w:rsidR="003D3278" w:rsidRPr="004D55C2" w:rsidRDefault="003D3278" w:rsidP="005F0A60">
            <w:pPr>
              <w:spacing w:before="5" w:line="240" w:lineRule="auto"/>
              <w:rPr>
                <w:rFonts w:ascii="Calibri" w:hAnsi="Calibri"/>
                <w:sz w:val="16"/>
                <w:szCs w:val="16"/>
              </w:rPr>
            </w:pPr>
          </w:p>
        </w:tc>
        <w:tc>
          <w:tcPr>
            <w:tcW w:w="1928" w:type="dxa"/>
          </w:tcPr>
          <w:p w14:paraId="656F8913"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Kunnanhallitus huhtikuu</w:t>
            </w:r>
          </w:p>
          <w:p w14:paraId="02EA80A9"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Kunnanvaltuusto huhtikuu</w:t>
            </w:r>
          </w:p>
        </w:tc>
      </w:tr>
      <w:tr w:rsidR="003D3278" w:rsidRPr="004D55C2" w14:paraId="422EEAA2" w14:textId="77777777" w:rsidTr="005F0A60">
        <w:tc>
          <w:tcPr>
            <w:tcW w:w="2525" w:type="dxa"/>
          </w:tcPr>
          <w:p w14:paraId="09D1100C"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Ympäristötilinpäätös 31. joulukuuta</w:t>
            </w:r>
          </w:p>
        </w:tc>
        <w:tc>
          <w:tcPr>
            <w:tcW w:w="3284" w:type="dxa"/>
          </w:tcPr>
          <w:p w14:paraId="34616185"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-Ympäristö- ja ilmasto-ohjelma</w:t>
            </w:r>
          </w:p>
        </w:tc>
        <w:tc>
          <w:tcPr>
            <w:tcW w:w="1928" w:type="dxa"/>
          </w:tcPr>
          <w:p w14:paraId="16E6F7E5"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Kunnanhallitus huhtikuu</w:t>
            </w:r>
          </w:p>
          <w:p w14:paraId="35C0D818" w14:textId="77777777" w:rsidR="003D3278" w:rsidRPr="004D55C2" w:rsidRDefault="003D3278" w:rsidP="005F0A60">
            <w:pPr>
              <w:spacing w:before="5" w:line="240" w:lineRule="auto"/>
              <w:rPr>
                <w:rFonts w:ascii="Calibri" w:hAnsi="Calibri"/>
                <w:sz w:val="16"/>
                <w:szCs w:val="16"/>
              </w:rPr>
            </w:pPr>
            <w:r w:rsidRPr="004D55C2">
              <w:rPr>
                <w:rFonts w:ascii="Calibri" w:hAnsi="Calibri" w:cs="Calibri"/>
                <w:sz w:val="16"/>
                <w:szCs w:val="16"/>
                <w:lang w:val="fi-FI" w:bidi="fi-FI"/>
              </w:rPr>
              <w:t>Kunnanvaltuusto huhtikuu</w:t>
            </w:r>
          </w:p>
        </w:tc>
      </w:tr>
    </w:tbl>
    <w:p w14:paraId="1CEC217F" w14:textId="77777777" w:rsidR="003D3278" w:rsidRPr="003D3278" w:rsidRDefault="003D3278" w:rsidP="003D3278"/>
    <w:sectPr w:rsidR="003D3278" w:rsidRPr="003D3278" w:rsidSect="009F32C6">
      <w:headerReference w:type="default" r:id="rId8"/>
      <w:headerReference w:type="first" r:id="rId9"/>
      <w:footerReference w:type="first" r:id="rId10"/>
      <w:pgSz w:w="11909" w:h="16834" w:code="9"/>
      <w:pgMar w:top="1644" w:right="1644" w:bottom="1474" w:left="1701" w:header="34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E05E" w14:textId="77777777" w:rsidR="009D177D" w:rsidRPr="00782350" w:rsidRDefault="009D177D" w:rsidP="00B1428B">
      <w:pPr>
        <w:pStyle w:val="Rubrik3"/>
        <w:rPr>
          <w:rFonts w:ascii="Times New Roman" w:eastAsia="Times New Roman" w:hAnsi="Times New Roman"/>
        </w:rPr>
      </w:pPr>
      <w:r>
        <w:separator/>
      </w:r>
    </w:p>
  </w:endnote>
  <w:endnote w:type="continuationSeparator" w:id="0">
    <w:p w14:paraId="1888D629" w14:textId="77777777" w:rsidR="009D177D" w:rsidRPr="00782350" w:rsidRDefault="009D177D" w:rsidP="00B1428B">
      <w:pPr>
        <w:pStyle w:val="Rubrik3"/>
        <w:rPr>
          <w:rFonts w:ascii="Times New Roman" w:eastAsia="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3722" w14:textId="77777777" w:rsidR="00C24CC0" w:rsidRDefault="00C24CC0" w:rsidP="00C06030">
    <w:pPr>
      <w:pStyle w:val="Doldrad"/>
      <w:spacing w:after="4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B40B" w14:textId="77777777" w:rsidR="009D177D" w:rsidRPr="00782350" w:rsidRDefault="009D177D" w:rsidP="00B1428B">
      <w:pPr>
        <w:pStyle w:val="Rubrik3"/>
        <w:rPr>
          <w:rFonts w:ascii="Times New Roman" w:eastAsia="Times New Roman" w:hAnsi="Times New Roman"/>
        </w:rPr>
      </w:pPr>
      <w:r>
        <w:separator/>
      </w:r>
    </w:p>
  </w:footnote>
  <w:footnote w:type="continuationSeparator" w:id="0">
    <w:p w14:paraId="11022DD1" w14:textId="77777777" w:rsidR="009D177D" w:rsidRPr="00782350" w:rsidRDefault="009D177D" w:rsidP="00B1428B">
      <w:pPr>
        <w:pStyle w:val="Rubrik3"/>
        <w:rPr>
          <w:rFonts w:ascii="Times New Roman" w:eastAsia="Times New Roman" w:hAnsi="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6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9448"/>
      <w:gridCol w:w="1120"/>
    </w:tblGrid>
    <w:tr w:rsidR="00C24CC0" w14:paraId="493CD4DB" w14:textId="77777777" w:rsidTr="00847613">
      <w:trPr>
        <w:trHeight w:val="284"/>
      </w:trPr>
      <w:tc>
        <w:tcPr>
          <w:tcW w:w="9448" w:type="dxa"/>
          <w:vAlign w:val="bottom"/>
        </w:tcPr>
        <w:p w14:paraId="2FA2957F" w14:textId="77777777" w:rsidR="00C24CC0" w:rsidRDefault="00847613" w:rsidP="00530CAE">
          <w:pPr>
            <w:pStyle w:val="Dokumenthuvud"/>
          </w:pPr>
          <w:bookmarkStart w:id="3" w:name="xxDokumentinfo"/>
          <w:bookmarkEnd w:id="3"/>
          <w:r>
            <w:rPr>
              <w:lang w:val="fi-FI" w:bidi="fi-FI"/>
            </w:rPr>
            <w:t>Vuoden 2022 tavoitteet ja talousarvio ja suunnitelma vuosille 2023 ja 2024 | 2021-11-29 | Södertäljen kunta</w:t>
          </w:r>
        </w:p>
      </w:tc>
      <w:tc>
        <w:tcPr>
          <w:tcW w:w="1120" w:type="dxa"/>
          <w:vAlign w:val="bottom"/>
        </w:tcPr>
        <w:p w14:paraId="0B4DF857" w14:textId="77777777" w:rsidR="00C24CC0" w:rsidRDefault="00F510E6" w:rsidP="00530CAE">
          <w:pPr>
            <w:pStyle w:val="Dokumenthuvud"/>
            <w:jc w:val="right"/>
          </w:pPr>
          <w:r>
            <w:rPr>
              <w:lang w:val="fi-FI" w:bidi="fi-FI"/>
            </w:rPr>
            <w:fldChar w:fldCharType="begin"/>
          </w:r>
          <w:r>
            <w:rPr>
              <w:lang w:val="fi-FI" w:bidi="fi-FI"/>
            </w:rPr>
            <w:instrText xml:space="preserve"> PAGE \* MERGEFORMAT </w:instrText>
          </w:r>
          <w:r>
            <w:rPr>
              <w:lang w:val="fi-FI" w:bidi="fi-FI"/>
            </w:rPr>
            <w:fldChar w:fldCharType="separate"/>
          </w:r>
          <w:r>
            <w:rPr>
              <w:noProof/>
              <w:lang w:val="fi-FI" w:bidi="fi-FI"/>
            </w:rPr>
            <w:t>3</w:t>
          </w:r>
          <w:r>
            <w:rPr>
              <w:lang w:val="fi-FI" w:bidi="fi-FI"/>
            </w:rPr>
            <w:fldChar w:fldCharType="end"/>
          </w:r>
          <w:r>
            <w:rPr>
              <w:lang w:val="fi-FI" w:bidi="fi-FI"/>
            </w:rPr>
            <w:t xml:space="preserve"> (</w:t>
          </w:r>
          <w:r w:rsidR="009727A6">
            <w:rPr>
              <w:noProof/>
              <w:lang w:val="fi-FI" w:bidi="fi-FI"/>
            </w:rPr>
            <w:fldChar w:fldCharType="begin"/>
          </w:r>
          <w:r w:rsidR="009727A6">
            <w:rPr>
              <w:noProof/>
              <w:lang w:val="fi-FI" w:bidi="fi-FI"/>
            </w:rPr>
            <w:instrText xml:space="preserve"> NUMPAGES \* MERGEFORMAT </w:instrText>
          </w:r>
          <w:r w:rsidR="009727A6">
            <w:rPr>
              <w:noProof/>
              <w:lang w:val="fi-FI" w:bidi="fi-FI"/>
            </w:rPr>
            <w:fldChar w:fldCharType="separate"/>
          </w:r>
          <w:r>
            <w:rPr>
              <w:noProof/>
              <w:lang w:val="fi-FI" w:bidi="fi-FI"/>
            </w:rPr>
            <w:t>3</w:t>
          </w:r>
          <w:r w:rsidR="009727A6">
            <w:rPr>
              <w:noProof/>
              <w:lang w:val="fi-FI" w:bidi="fi-FI"/>
            </w:rPr>
            <w:fldChar w:fldCharType="end"/>
          </w:r>
          <w:r>
            <w:rPr>
              <w:lang w:val="fi-FI" w:bidi="fi-FI"/>
            </w:rPr>
            <w:t>)</w:t>
          </w:r>
        </w:p>
      </w:tc>
    </w:tr>
  </w:tbl>
  <w:p w14:paraId="3DBEB8B0" w14:textId="77777777" w:rsidR="00C24CC0" w:rsidRDefault="00C24CC0" w:rsidP="00530CAE">
    <w:pPr>
      <w:pStyle w:val="Doldr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DC67" w14:textId="77777777" w:rsidR="00C24CC0" w:rsidRDefault="00C24CC0" w:rsidP="00847613">
    <w:pPr>
      <w:pStyle w:val="Doldrad"/>
      <w:spacing w:after="3500"/>
      <w:rPr>
        <w:noProof/>
      </w:rPr>
    </w:pPr>
    <w:r>
      <w:rPr>
        <w:noProof/>
        <w:lang w:val="fi-FI" w:bidi="fi-FI"/>
      </w:rPr>
      <mc:AlternateContent>
        <mc:Choice Requires="wps">
          <w:drawing>
            <wp:anchor distT="0" distB="935990" distL="114300" distR="114300" simplePos="0" relativeHeight="251658240" behindDoc="0" locked="1" layoutInCell="1" allowOverlap="1" wp14:anchorId="042C6D58" wp14:editId="376B8297">
              <wp:simplePos x="0" y="0"/>
              <wp:positionH relativeFrom="margin">
                <wp:posOffset>-645160</wp:posOffset>
              </wp:positionH>
              <wp:positionV relativeFrom="page">
                <wp:posOffset>501015</wp:posOffset>
              </wp:positionV>
              <wp:extent cx="6684645" cy="4449445"/>
              <wp:effectExtent l="0" t="0" r="1905" b="8255"/>
              <wp:wrapNone/>
              <wp:docPr id="4" name="FirstPageImage"/>
              <wp:cNvGraphicFramePr/>
              <a:graphic xmlns:a="http://schemas.openxmlformats.org/drawingml/2006/main">
                <a:graphicData uri="http://schemas.microsoft.com/office/word/2010/wordprocessingShape">
                  <wps:wsp>
                    <wps:cNvSpPr txBox="1"/>
                    <wps:spPr>
                      <a:xfrm>
                        <a:off x="0" y="0"/>
                        <a:ext cx="6684645" cy="4449445"/>
                      </a:xfrm>
                      <a:prstGeom prst="rect">
                        <a:avLst/>
                      </a:prstGeom>
                      <a:solidFill>
                        <a:schemeClr val="bg1">
                          <a:lumMod val="75000"/>
                          <a:alpha val="50196"/>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F50DF" w14:textId="77777777" w:rsidR="00C24CC0" w:rsidRPr="00BA7B17" w:rsidRDefault="00CC107C" w:rsidP="005B0EE2">
                          <w:pPr>
                            <w:spacing w:after="0" w:line="240" w:lineRule="auto"/>
                            <w:jc w:val="center"/>
                            <w:rPr>
                              <w:sz w:val="2"/>
                              <w:szCs w:val="2"/>
                            </w:rPr>
                          </w:pPr>
                          <w:r>
                            <w:rPr>
                              <w:noProof/>
                              <w:sz w:val="2"/>
                              <w:szCs w:val="2"/>
                              <w:lang w:val="fi-FI" w:bidi="fi-FI"/>
                            </w:rPr>
                            <w:drawing>
                              <wp:inline distT="0" distB="0" distL="0" distR="0" wp14:anchorId="0EFC0E1A" wp14:editId="76B5B1D7">
                                <wp:extent cx="5843270" cy="4443095"/>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bblor.jpg"/>
                                        <pic:cNvPicPr/>
                                      </pic:nvPicPr>
                                      <pic:blipFill>
                                        <a:blip r:embed="rId1">
                                          <a:extLst>
                                            <a:ext uri="{28A0092B-C50C-407E-A947-70E740481C1C}">
                                              <a14:useLocalDpi xmlns:a14="http://schemas.microsoft.com/office/drawing/2010/main" val="0"/>
                                            </a:ext>
                                          </a:extLst>
                                        </a:blip>
                                        <a:stretch>
                                          <a:fillRect/>
                                        </a:stretch>
                                      </pic:blipFill>
                                      <pic:spPr>
                                        <a:xfrm>
                                          <a:off x="0" y="0"/>
                                          <a:ext cx="5843270" cy="44430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42C6D58" id="_x0000_t202" coordsize="21600,21600" o:spt="202" path="m,l,21600r21600,l21600,xe">
              <v:stroke joinstyle="miter"/>
              <v:path gradientshapeok="t" o:connecttype="rect"/>
            </v:shapetype>
            <v:shape id="FirstPageImage" o:spid="_x0000_s1026" type="#_x0000_t202" style="position:absolute;margin-left:-50.8pt;margin-top:39.45pt;width:526.35pt;height:350.35pt;z-index:251658240;visibility:visible;mso-wrap-style:square;mso-width-percent:0;mso-height-percent:0;mso-wrap-distance-left:9pt;mso-wrap-distance-top:0;mso-wrap-distance-right:9pt;mso-wrap-distance-bottom:73.7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" fillcolor="#bfbfbf [2412]" stroked="f" strokeweight=".5pt">
              <v:fill opacity="32896f"/>
              <v:textbox inset="0,0,0,0">
                <w:txbxContent>
                  <w:p w14:paraId="537F50DF" w14:textId="77777777" w:rsidR="00C24CC0" w:rsidRPr="00BA7B17" w:rsidRDefault="00CC107C" w:rsidP="005B0EE2">
                    <w:pPr>
                      <w:spacing w:after="0" w:line="240" w:lineRule="auto"/>
                      <w:jc w:val="center"/>
                      <w:rPr>
                        <w:sz w:val="2"/>
                        <w:szCs w:val="2"/>
                      </w:rPr>
                    </w:pPr>
                    <w:r>
                      <w:rPr>
                        <w:noProof/>
                        <w:sz w:val="2"/>
                        <w:szCs w:val="2"/>
                        <w:lang w:val="fi-FI" w:bidi="fi-FI"/>
                      </w:rPr>
                      <w:drawing>
                        <wp:inline distT="0" distB="0" distL="0" distR="0" wp14:anchorId="0EFC0E1A" wp14:editId="76B5B1D7">
                          <wp:extent cx="5843270" cy="4443095"/>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bblor.jpg"/>
                                  <pic:cNvPicPr/>
                                </pic:nvPicPr>
                                <pic:blipFill>
                                  <a:blip r:embed="rId2">
                                    <a:extLst>
                                      <a:ext uri="{28A0092B-C50C-407E-A947-70E740481C1C}">
                                        <a14:useLocalDpi xmlns:a14="http://schemas.microsoft.com/office/drawing/2010/main" val="0"/>
                                      </a:ext>
                                    </a:extLst>
                                  </a:blip>
                                  <a:stretch>
                                    <a:fillRect/>
                                  </a:stretch>
                                </pic:blipFill>
                                <pic:spPr>
                                  <a:xfrm>
                                    <a:off x="0" y="0"/>
                                    <a:ext cx="5843270" cy="4443095"/>
                                  </a:xfrm>
                                  <a:prstGeom prst="rect">
                                    <a:avLst/>
                                  </a:prstGeom>
                                </pic:spPr>
                              </pic:pic>
                            </a:graphicData>
                          </a:graphic>
                        </wp:inline>
                      </w:drawing>
                    </w:r>
                  </w:p>
                </w:txbxContent>
              </v:textbox>
              <w10:wrap anchorx="margin" anchory="page"/>
              <w10:anchorlock/>
            </v:shape>
          </w:pict>
        </mc:Fallback>
      </mc:AlternateContent>
    </w:r>
    <w:r>
      <w:rPr>
        <w:noProof/>
        <w:lang w:val="fi-FI" w:bidi="fi-FI"/>
      </w:rPr>
      <w:t xml:space="preserve"> </w:t>
    </w:r>
  </w:p>
  <w:tbl>
    <w:tblPr>
      <w:tblStyle w:val="Tabellrutnt"/>
      <w:tblW w:w="0" w:type="auto"/>
      <w:tblInd w:w="-607" w:type="dxa"/>
      <w:tblCellMar>
        <w:left w:w="0" w:type="dxa"/>
        <w:right w:w="0" w:type="dxa"/>
      </w:tblCellMar>
      <w:tblLook w:val="04A0" w:firstRow="1" w:lastRow="0" w:firstColumn="1" w:lastColumn="0" w:noHBand="0" w:noVBand="1"/>
    </w:tblPr>
    <w:tblGrid>
      <w:gridCol w:w="2438"/>
    </w:tblGrid>
    <w:tr w:rsidR="00C24CC0" w14:paraId="273BDCBB" w14:textId="77777777" w:rsidTr="009C4CB5">
      <w:trPr>
        <w:trHeight w:val="737"/>
      </w:trPr>
      <w:tc>
        <w:tcPr>
          <w:tcW w:w="2438" w:type="dxa"/>
          <w:tcBorders>
            <w:top w:val="nil"/>
            <w:left w:val="nil"/>
            <w:bottom w:val="nil"/>
            <w:right w:val="nil"/>
          </w:tcBorders>
        </w:tcPr>
        <w:p w14:paraId="75F731BB" w14:textId="77777777" w:rsidR="00C24CC0" w:rsidRPr="0007038F" w:rsidRDefault="00C24CC0" w:rsidP="00D8526A">
          <w:pPr>
            <w:spacing w:before="20"/>
          </w:pPr>
        </w:p>
      </w:tc>
    </w:tr>
  </w:tbl>
  <w:p w14:paraId="3E8FA6E9" w14:textId="77777777" w:rsidR="00C24CC0" w:rsidRDefault="00C24CC0" w:rsidP="00144C40">
    <w:pPr>
      <w:pStyle w:val="Doldrad"/>
      <w:tabs>
        <w:tab w:val="clear" w:pos="4536"/>
        <w:tab w:val="clear" w:pos="9072"/>
        <w:tab w:val="left" w:pos="2190"/>
      </w:tabs>
      <w:spacing w:after="4600"/>
    </w:pPr>
    <w:r>
      <w:rPr>
        <w:noProof/>
        <w:lang w:val="fi-FI" w:bidi="fi-FI"/>
      </w:rPr>
      <mc:AlternateContent>
        <mc:Choice Requires="wps">
          <w:drawing>
            <wp:anchor distT="0" distB="0" distL="114300" distR="114300" simplePos="0" relativeHeight="251668480" behindDoc="0" locked="0" layoutInCell="1" allowOverlap="1" wp14:anchorId="327DA87B" wp14:editId="19B5576B">
              <wp:simplePos x="0" y="0"/>
              <wp:positionH relativeFrom="column">
                <wp:posOffset>2908935</wp:posOffset>
              </wp:positionH>
              <wp:positionV relativeFrom="paragraph">
                <wp:posOffset>770778</wp:posOffset>
              </wp:positionV>
              <wp:extent cx="2925445" cy="351155"/>
              <wp:effectExtent l="0" t="0" r="0" b="0"/>
              <wp:wrapNone/>
              <wp:docPr id="6" name="Kontor1" hidden="1"/>
              <wp:cNvGraphicFramePr/>
              <a:graphic xmlns:a="http://schemas.openxmlformats.org/drawingml/2006/main">
                <a:graphicData uri="http://schemas.microsoft.com/office/word/2010/wordprocessingShape">
                  <wps:wsp>
                    <wps:cNvSpPr txBox="1"/>
                    <wps:spPr>
                      <a:xfrm>
                        <a:off x="0" y="0"/>
                        <a:ext cx="2925445" cy="351155"/>
                      </a:xfrm>
                      <a:prstGeom prst="rect">
                        <a:avLst/>
                      </a:prstGeom>
                      <a:noFill/>
                      <a:ln w="6350">
                        <a:noFill/>
                      </a:ln>
                    </wps:spPr>
                    <wps:txbx>
                      <w:txbxContent>
                        <w:p w14:paraId="172DF474" w14:textId="77777777" w:rsidR="00C24CC0" w:rsidRPr="00F409AA" w:rsidRDefault="00C24CC0" w:rsidP="00567D44">
                          <w:pPr>
                            <w:pStyle w:val="Sidfot"/>
                            <w:rPr>
                              <w:lang w:val="en-US"/>
                            </w:rPr>
                          </w:pPr>
                          <w:r w:rsidRPr="00F409AA">
                            <w:rPr>
                              <w:lang w:val="fi-FI" w:bidi="fi-FI"/>
                            </w:rPr>
                            <w:t>Toimisto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27DA87B" id="Kontor1" o:spid="_x0000_s1027" type="#_x0000_t202" style="position:absolute;margin-left:229.05pt;margin-top:60.7pt;width:230.35pt;height:27.6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" filled="f" stroked="f" strokeweight=".5pt">
              <v:textbox inset="0,0,0,0">
                <w:txbxContent>
                  <w:p w14:paraId="172DF474" w14:textId="77777777" w:rsidR="00C24CC0" w:rsidRPr="00F409AA" w:rsidRDefault="00C24CC0" w:rsidP="00567D44">
                    <w:pPr>
                      <w:pStyle w:val="Footer"/>
                      <w:rPr>
                        <w:lang w:val="en-US"/>
                      </w:rPr>
                    </w:pPr>
                    <w:r w:rsidRPr="00F409AA">
                      <w:rPr>
                        <w:lang w:val="fi-FI" w:bidi="fi-FI"/>
                      </w:rPr>
                      <w:t>Toimisto</w:t>
                    </w:r>
                  </w:p>
                </w:txbxContent>
              </v:textbox>
            </v:shape>
          </w:pict>
        </mc:Fallback>
      </mc:AlternateContent>
    </w:r>
    <w:r>
      <w:rPr>
        <w:noProof/>
        <w:lang w:val="fi-FI" w:bidi="fi-FI"/>
      </w:rPr>
      <w:drawing>
        <wp:anchor distT="0" distB="0" distL="114300" distR="114300" simplePos="0" relativeHeight="251663360" behindDoc="1" locked="0" layoutInCell="1" allowOverlap="1" wp14:anchorId="5CE76A74" wp14:editId="34EBC207">
          <wp:simplePos x="0" y="0"/>
          <wp:positionH relativeFrom="column">
            <wp:posOffset>-407670</wp:posOffset>
          </wp:positionH>
          <wp:positionV relativeFrom="paragraph">
            <wp:posOffset>421542</wp:posOffset>
          </wp:positionV>
          <wp:extent cx="1798955" cy="635635"/>
          <wp:effectExtent l="0" t="0" r="0" b="0"/>
          <wp:wrapTopAndBottom/>
          <wp:docPr id="12" name="Logo1" descr="C:\Program Files (x86)\RabarberTools\TemplateFiles\LogotypeImages\Södertälje kommun\Color\Logotype.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RabarberTools\TemplateFiles\LogotypeImages\Södertälje kommun\Color\Logotyp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955" cy="635635"/>
                  </a:xfrm>
                  <a:prstGeom prst="rect">
                    <a:avLst/>
                  </a:prstGeom>
                  <a:noFill/>
                  <a:ln>
                    <a:noFill/>
                  </a:ln>
                </pic:spPr>
              </pic:pic>
            </a:graphicData>
          </a:graphic>
        </wp:anchor>
      </w:drawing>
    </w:r>
    <w:bookmarkStart w:id="4" w:name="xxAddressRow1"/>
    <w:bookmarkEnd w:id="4"/>
    <w:r w:rsidR="00144C40">
      <w:rPr>
        <w:lang w:val="fi-FI" w:bidi="fi-F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A482031"/>
    <w:multiLevelType w:val="hybridMultilevel"/>
    <w:tmpl w:val="04F0C692"/>
    <w:lvl w:ilvl="0" w:tplc="041D0001">
      <w:start w:val="1"/>
      <w:numFmt w:val="bullet"/>
      <w:lvlText w:val=""/>
      <w:lvlJc w:val="left"/>
      <w:pPr>
        <w:ind w:left="1601" w:hanging="360"/>
      </w:pPr>
      <w:rPr>
        <w:rFonts w:ascii="Symbol" w:hAnsi="Symbol" w:hint="default"/>
        <w:strike w:val="0"/>
        <w:w w:val="80"/>
        <w:sz w:val="16"/>
        <w:szCs w:val="16"/>
      </w:rPr>
    </w:lvl>
    <w:lvl w:ilvl="1" w:tplc="A97EF190">
      <w:numFmt w:val="bullet"/>
      <w:lvlText w:val="•"/>
      <w:lvlJc w:val="left"/>
      <w:pPr>
        <w:ind w:left="2474" w:hanging="360"/>
      </w:pPr>
      <w:rPr>
        <w:rFonts w:hint="default"/>
      </w:rPr>
    </w:lvl>
    <w:lvl w:ilvl="2" w:tplc="D9064FBA">
      <w:numFmt w:val="bullet"/>
      <w:lvlText w:val="•"/>
      <w:lvlJc w:val="left"/>
      <w:pPr>
        <w:ind w:left="3349" w:hanging="360"/>
      </w:pPr>
      <w:rPr>
        <w:rFonts w:hint="default"/>
      </w:rPr>
    </w:lvl>
    <w:lvl w:ilvl="3" w:tplc="09F4259C">
      <w:numFmt w:val="bullet"/>
      <w:lvlText w:val="•"/>
      <w:lvlJc w:val="left"/>
      <w:pPr>
        <w:ind w:left="4224" w:hanging="360"/>
      </w:pPr>
      <w:rPr>
        <w:rFonts w:hint="default"/>
      </w:rPr>
    </w:lvl>
    <w:lvl w:ilvl="4" w:tplc="4A0E8F42">
      <w:numFmt w:val="bullet"/>
      <w:lvlText w:val="•"/>
      <w:lvlJc w:val="left"/>
      <w:pPr>
        <w:ind w:left="5099" w:hanging="360"/>
      </w:pPr>
      <w:rPr>
        <w:rFonts w:hint="default"/>
      </w:rPr>
    </w:lvl>
    <w:lvl w:ilvl="5" w:tplc="657CA588">
      <w:numFmt w:val="bullet"/>
      <w:lvlText w:val="•"/>
      <w:lvlJc w:val="left"/>
      <w:pPr>
        <w:ind w:left="5974" w:hanging="360"/>
      </w:pPr>
      <w:rPr>
        <w:rFonts w:hint="default"/>
      </w:rPr>
    </w:lvl>
    <w:lvl w:ilvl="6" w:tplc="DA800D38">
      <w:numFmt w:val="bullet"/>
      <w:lvlText w:val="•"/>
      <w:lvlJc w:val="left"/>
      <w:pPr>
        <w:ind w:left="6849" w:hanging="360"/>
      </w:pPr>
      <w:rPr>
        <w:rFonts w:hint="default"/>
      </w:rPr>
    </w:lvl>
    <w:lvl w:ilvl="7" w:tplc="5CEE8524">
      <w:numFmt w:val="bullet"/>
      <w:lvlText w:val="•"/>
      <w:lvlJc w:val="left"/>
      <w:pPr>
        <w:ind w:left="7724" w:hanging="360"/>
      </w:pPr>
      <w:rPr>
        <w:rFonts w:hint="default"/>
      </w:rPr>
    </w:lvl>
    <w:lvl w:ilvl="8" w:tplc="4AAC149A">
      <w:numFmt w:val="bullet"/>
      <w:lvlText w:val="•"/>
      <w:lvlJc w:val="left"/>
      <w:pPr>
        <w:ind w:left="8599" w:hanging="360"/>
      </w:pPr>
      <w:rPr>
        <w:rFonts w:hint="default"/>
      </w:rPr>
    </w:lvl>
  </w:abstractNum>
  <w:abstractNum w:abstractNumId="2" w15:restartNumberingAfterBreak="0">
    <w:nsid w:val="14303BE1"/>
    <w:multiLevelType w:val="hybridMultilevel"/>
    <w:tmpl w:val="C9C065DC"/>
    <w:lvl w:ilvl="0" w:tplc="2C0AF3D8">
      <w:numFmt w:val="bullet"/>
      <w:lvlText w:val="•"/>
      <w:lvlJc w:val="left"/>
      <w:pPr>
        <w:ind w:left="217" w:hanging="140"/>
      </w:pPr>
      <w:rPr>
        <w:rFonts w:ascii="Calibri" w:eastAsia="Calibri" w:hAnsi="Calibri" w:cs="Calibri" w:hint="default"/>
        <w:strike w:val="0"/>
        <w:w w:val="80"/>
        <w:sz w:val="16"/>
        <w:szCs w:val="16"/>
      </w:rPr>
    </w:lvl>
    <w:lvl w:ilvl="1" w:tplc="75E446B4">
      <w:numFmt w:val="bullet"/>
      <w:lvlText w:val="•"/>
      <w:lvlJc w:val="left"/>
      <w:pPr>
        <w:ind w:left="630" w:hanging="140"/>
      </w:pPr>
    </w:lvl>
    <w:lvl w:ilvl="2" w:tplc="C17AF6B0">
      <w:numFmt w:val="bullet"/>
      <w:lvlText w:val="•"/>
      <w:lvlJc w:val="left"/>
      <w:pPr>
        <w:ind w:left="1041" w:hanging="140"/>
      </w:pPr>
    </w:lvl>
    <w:lvl w:ilvl="3" w:tplc="53F44444">
      <w:numFmt w:val="bullet"/>
      <w:lvlText w:val="•"/>
      <w:lvlJc w:val="left"/>
      <w:pPr>
        <w:ind w:left="1452" w:hanging="140"/>
      </w:pPr>
    </w:lvl>
    <w:lvl w:ilvl="4" w:tplc="6748B788">
      <w:numFmt w:val="bullet"/>
      <w:lvlText w:val="•"/>
      <w:lvlJc w:val="left"/>
      <w:pPr>
        <w:ind w:left="1863" w:hanging="140"/>
      </w:pPr>
    </w:lvl>
    <w:lvl w:ilvl="5" w:tplc="72B28AA8">
      <w:numFmt w:val="bullet"/>
      <w:lvlText w:val="•"/>
      <w:lvlJc w:val="left"/>
      <w:pPr>
        <w:ind w:left="2274" w:hanging="140"/>
      </w:pPr>
    </w:lvl>
    <w:lvl w:ilvl="6" w:tplc="B652F7C0">
      <w:numFmt w:val="bullet"/>
      <w:lvlText w:val="•"/>
      <w:lvlJc w:val="left"/>
      <w:pPr>
        <w:ind w:left="2685" w:hanging="140"/>
      </w:pPr>
    </w:lvl>
    <w:lvl w:ilvl="7" w:tplc="1E68E29A">
      <w:numFmt w:val="bullet"/>
      <w:lvlText w:val="•"/>
      <w:lvlJc w:val="left"/>
      <w:pPr>
        <w:ind w:left="3096" w:hanging="140"/>
      </w:pPr>
    </w:lvl>
    <w:lvl w:ilvl="8" w:tplc="EFF665B4">
      <w:numFmt w:val="bullet"/>
      <w:lvlText w:val="•"/>
      <w:lvlJc w:val="left"/>
      <w:pPr>
        <w:ind w:left="3507" w:hanging="140"/>
      </w:pPr>
    </w:lvl>
  </w:abstractNum>
  <w:abstractNum w:abstractNumId="3" w15:restartNumberingAfterBreak="0">
    <w:nsid w:val="17955EA5"/>
    <w:multiLevelType w:val="hybridMultilevel"/>
    <w:tmpl w:val="760AC31E"/>
    <w:lvl w:ilvl="0" w:tplc="EC7AA646">
      <w:numFmt w:val="bullet"/>
      <w:lvlText w:val="•"/>
      <w:lvlJc w:val="left"/>
      <w:pPr>
        <w:ind w:left="217" w:hanging="140"/>
      </w:pPr>
      <w:rPr>
        <w:rFonts w:ascii="Calibri" w:eastAsia="Calibri" w:hAnsi="Calibri" w:cs="Calibri" w:hint="default"/>
        <w:w w:val="80"/>
        <w:sz w:val="16"/>
        <w:szCs w:val="16"/>
      </w:rPr>
    </w:lvl>
    <w:lvl w:ilvl="1" w:tplc="577CC15A">
      <w:numFmt w:val="bullet"/>
      <w:lvlText w:val="•"/>
      <w:lvlJc w:val="left"/>
      <w:pPr>
        <w:ind w:left="630" w:hanging="140"/>
      </w:pPr>
    </w:lvl>
    <w:lvl w:ilvl="2" w:tplc="28D619EA">
      <w:numFmt w:val="bullet"/>
      <w:lvlText w:val="•"/>
      <w:lvlJc w:val="left"/>
      <w:pPr>
        <w:ind w:left="1041" w:hanging="140"/>
      </w:pPr>
    </w:lvl>
    <w:lvl w:ilvl="3" w:tplc="849CD0FA">
      <w:numFmt w:val="bullet"/>
      <w:lvlText w:val="•"/>
      <w:lvlJc w:val="left"/>
      <w:pPr>
        <w:ind w:left="1452" w:hanging="140"/>
      </w:pPr>
    </w:lvl>
    <w:lvl w:ilvl="4" w:tplc="87A09C26">
      <w:numFmt w:val="bullet"/>
      <w:lvlText w:val="•"/>
      <w:lvlJc w:val="left"/>
      <w:pPr>
        <w:ind w:left="1863" w:hanging="140"/>
      </w:pPr>
    </w:lvl>
    <w:lvl w:ilvl="5" w:tplc="CAC6BB5E">
      <w:numFmt w:val="bullet"/>
      <w:lvlText w:val="•"/>
      <w:lvlJc w:val="left"/>
      <w:pPr>
        <w:ind w:left="2274" w:hanging="140"/>
      </w:pPr>
    </w:lvl>
    <w:lvl w:ilvl="6" w:tplc="9C26056A">
      <w:numFmt w:val="bullet"/>
      <w:lvlText w:val="•"/>
      <w:lvlJc w:val="left"/>
      <w:pPr>
        <w:ind w:left="2685" w:hanging="140"/>
      </w:pPr>
    </w:lvl>
    <w:lvl w:ilvl="7" w:tplc="FFD077EA">
      <w:numFmt w:val="bullet"/>
      <w:lvlText w:val="•"/>
      <w:lvlJc w:val="left"/>
      <w:pPr>
        <w:ind w:left="3096" w:hanging="140"/>
      </w:pPr>
    </w:lvl>
    <w:lvl w:ilvl="8" w:tplc="E158AD50">
      <w:numFmt w:val="bullet"/>
      <w:lvlText w:val="•"/>
      <w:lvlJc w:val="left"/>
      <w:pPr>
        <w:ind w:left="3507" w:hanging="140"/>
      </w:pPr>
    </w:lvl>
  </w:abstractNum>
  <w:abstractNum w:abstractNumId="4" w15:restartNumberingAfterBreak="0">
    <w:nsid w:val="1B652560"/>
    <w:multiLevelType w:val="hybridMultilevel"/>
    <w:tmpl w:val="3676B7AE"/>
    <w:lvl w:ilvl="0" w:tplc="1A86E3C0">
      <w:start w:val="1"/>
      <w:numFmt w:val="bullet"/>
      <w:lvlText w:val=""/>
      <w:lvlJc w:val="left"/>
      <w:pPr>
        <w:ind w:left="1601" w:hanging="360"/>
      </w:pPr>
      <w:rPr>
        <w:rFonts w:ascii="Symbol" w:hAnsi="Symbol" w:hint="default"/>
        <w:strike w:val="0"/>
        <w:w w:val="100"/>
        <w:sz w:val="18"/>
        <w:szCs w:val="18"/>
      </w:rPr>
    </w:lvl>
    <w:lvl w:ilvl="1" w:tplc="041D0003">
      <w:start w:val="1"/>
      <w:numFmt w:val="bullet"/>
      <w:lvlText w:val="o"/>
      <w:lvlJc w:val="left"/>
      <w:pPr>
        <w:ind w:left="2321" w:hanging="360"/>
      </w:pPr>
      <w:rPr>
        <w:rFonts w:ascii="Courier New" w:hAnsi="Courier New" w:cs="Courier New" w:hint="default"/>
      </w:rPr>
    </w:lvl>
    <w:lvl w:ilvl="2" w:tplc="041D0005" w:tentative="1">
      <w:start w:val="1"/>
      <w:numFmt w:val="bullet"/>
      <w:lvlText w:val=""/>
      <w:lvlJc w:val="left"/>
      <w:pPr>
        <w:ind w:left="3041" w:hanging="360"/>
      </w:pPr>
      <w:rPr>
        <w:rFonts w:ascii="Wingdings" w:hAnsi="Wingdings" w:hint="default"/>
      </w:rPr>
    </w:lvl>
    <w:lvl w:ilvl="3" w:tplc="041D0001" w:tentative="1">
      <w:start w:val="1"/>
      <w:numFmt w:val="bullet"/>
      <w:lvlText w:val=""/>
      <w:lvlJc w:val="left"/>
      <w:pPr>
        <w:ind w:left="3761" w:hanging="360"/>
      </w:pPr>
      <w:rPr>
        <w:rFonts w:ascii="Symbol" w:hAnsi="Symbol" w:hint="default"/>
      </w:rPr>
    </w:lvl>
    <w:lvl w:ilvl="4" w:tplc="041D0003" w:tentative="1">
      <w:start w:val="1"/>
      <w:numFmt w:val="bullet"/>
      <w:lvlText w:val="o"/>
      <w:lvlJc w:val="left"/>
      <w:pPr>
        <w:ind w:left="4481" w:hanging="360"/>
      </w:pPr>
      <w:rPr>
        <w:rFonts w:ascii="Courier New" w:hAnsi="Courier New" w:cs="Courier New" w:hint="default"/>
      </w:rPr>
    </w:lvl>
    <w:lvl w:ilvl="5" w:tplc="041D0005" w:tentative="1">
      <w:start w:val="1"/>
      <w:numFmt w:val="bullet"/>
      <w:lvlText w:val=""/>
      <w:lvlJc w:val="left"/>
      <w:pPr>
        <w:ind w:left="5201" w:hanging="360"/>
      </w:pPr>
      <w:rPr>
        <w:rFonts w:ascii="Wingdings" w:hAnsi="Wingdings" w:hint="default"/>
      </w:rPr>
    </w:lvl>
    <w:lvl w:ilvl="6" w:tplc="041D0001" w:tentative="1">
      <w:start w:val="1"/>
      <w:numFmt w:val="bullet"/>
      <w:lvlText w:val=""/>
      <w:lvlJc w:val="left"/>
      <w:pPr>
        <w:ind w:left="5921" w:hanging="360"/>
      </w:pPr>
      <w:rPr>
        <w:rFonts w:ascii="Symbol" w:hAnsi="Symbol" w:hint="default"/>
      </w:rPr>
    </w:lvl>
    <w:lvl w:ilvl="7" w:tplc="041D0003" w:tentative="1">
      <w:start w:val="1"/>
      <w:numFmt w:val="bullet"/>
      <w:lvlText w:val="o"/>
      <w:lvlJc w:val="left"/>
      <w:pPr>
        <w:ind w:left="6641" w:hanging="360"/>
      </w:pPr>
      <w:rPr>
        <w:rFonts w:ascii="Courier New" w:hAnsi="Courier New" w:cs="Courier New" w:hint="default"/>
      </w:rPr>
    </w:lvl>
    <w:lvl w:ilvl="8" w:tplc="041D0005" w:tentative="1">
      <w:start w:val="1"/>
      <w:numFmt w:val="bullet"/>
      <w:lvlText w:val=""/>
      <w:lvlJc w:val="left"/>
      <w:pPr>
        <w:ind w:left="7361" w:hanging="360"/>
      </w:pPr>
      <w:rPr>
        <w:rFonts w:ascii="Wingdings" w:hAnsi="Wingdings" w:hint="default"/>
      </w:rPr>
    </w:lvl>
  </w:abstractNum>
  <w:abstractNum w:abstractNumId="5" w15:restartNumberingAfterBreak="0">
    <w:nsid w:val="1EE74B27"/>
    <w:multiLevelType w:val="hybridMultilevel"/>
    <w:tmpl w:val="D3DADD54"/>
    <w:lvl w:ilvl="0" w:tplc="D4F2C6FE">
      <w:numFmt w:val="bullet"/>
      <w:lvlText w:val=""/>
      <w:lvlJc w:val="left"/>
      <w:pPr>
        <w:ind w:left="1241" w:hanging="360"/>
      </w:pPr>
      <w:rPr>
        <w:rFonts w:hint="default"/>
        <w:w w:val="100"/>
      </w:rPr>
    </w:lvl>
    <w:lvl w:ilvl="1" w:tplc="7B8886BA">
      <w:start w:val="1"/>
      <w:numFmt w:val="bullet"/>
      <w:lvlText w:val=""/>
      <w:lvlJc w:val="left"/>
      <w:pPr>
        <w:ind w:left="1601" w:hanging="360"/>
      </w:pPr>
      <w:rPr>
        <w:rFonts w:ascii="Symbol" w:hAnsi="Symbol" w:hint="default"/>
        <w:strike w:val="0"/>
        <w:color w:val="auto"/>
        <w:w w:val="100"/>
        <w:sz w:val="18"/>
        <w:szCs w:val="18"/>
      </w:rPr>
    </w:lvl>
    <w:lvl w:ilvl="2" w:tplc="4942E95E">
      <w:numFmt w:val="bullet"/>
      <w:lvlText w:val="•"/>
      <w:lvlJc w:val="left"/>
      <w:pPr>
        <w:ind w:left="1282" w:hanging="360"/>
      </w:pPr>
      <w:rPr>
        <w:rFonts w:hint="default"/>
      </w:rPr>
    </w:lvl>
    <w:lvl w:ilvl="3" w:tplc="3D486F4C">
      <w:numFmt w:val="bullet"/>
      <w:lvlText w:val="•"/>
      <w:lvlJc w:val="left"/>
      <w:pPr>
        <w:ind w:left="965" w:hanging="360"/>
      </w:pPr>
      <w:rPr>
        <w:rFonts w:hint="default"/>
      </w:rPr>
    </w:lvl>
    <w:lvl w:ilvl="4" w:tplc="283ABA0A">
      <w:numFmt w:val="bullet"/>
      <w:lvlText w:val="•"/>
      <w:lvlJc w:val="left"/>
      <w:pPr>
        <w:ind w:left="648" w:hanging="360"/>
      </w:pPr>
      <w:rPr>
        <w:rFonts w:hint="default"/>
      </w:rPr>
    </w:lvl>
    <w:lvl w:ilvl="5" w:tplc="A1969756">
      <w:numFmt w:val="bullet"/>
      <w:lvlText w:val="•"/>
      <w:lvlJc w:val="left"/>
      <w:pPr>
        <w:ind w:left="331" w:hanging="360"/>
      </w:pPr>
      <w:rPr>
        <w:rFonts w:hint="default"/>
      </w:rPr>
    </w:lvl>
    <w:lvl w:ilvl="6" w:tplc="4F667C68">
      <w:numFmt w:val="bullet"/>
      <w:lvlText w:val="•"/>
      <w:lvlJc w:val="left"/>
      <w:pPr>
        <w:ind w:left="14" w:hanging="360"/>
      </w:pPr>
      <w:rPr>
        <w:rFonts w:hint="default"/>
      </w:rPr>
    </w:lvl>
    <w:lvl w:ilvl="7" w:tplc="187CC086">
      <w:numFmt w:val="bullet"/>
      <w:lvlText w:val="•"/>
      <w:lvlJc w:val="left"/>
      <w:pPr>
        <w:ind w:left="-303" w:hanging="360"/>
      </w:pPr>
      <w:rPr>
        <w:rFonts w:hint="default"/>
      </w:rPr>
    </w:lvl>
    <w:lvl w:ilvl="8" w:tplc="5F50DFBE">
      <w:numFmt w:val="bullet"/>
      <w:lvlText w:val="•"/>
      <w:lvlJc w:val="left"/>
      <w:pPr>
        <w:ind w:left="-620" w:hanging="360"/>
      </w:pPr>
      <w:rPr>
        <w:rFonts w:hint="default"/>
      </w:rPr>
    </w:lvl>
  </w:abstractNum>
  <w:abstractNum w:abstractNumId="6" w15:restartNumberingAfterBreak="0">
    <w:nsid w:val="25847836"/>
    <w:multiLevelType w:val="hybridMultilevel"/>
    <w:tmpl w:val="057CB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71089F"/>
    <w:multiLevelType w:val="multilevel"/>
    <w:tmpl w:val="744E7418"/>
    <w:lvl w:ilvl="0">
      <w:start w:val="1"/>
      <w:numFmt w:val="decimal"/>
      <w:pStyle w:val="Rubrik1Nr"/>
      <w:lvlText w:val="%1."/>
      <w:lvlJc w:val="left"/>
      <w:pPr>
        <w:ind w:left="432" w:hanging="432"/>
      </w:pPr>
      <w:rPr>
        <w:rFonts w:hint="default"/>
      </w:rPr>
    </w:lvl>
    <w:lvl w:ilvl="1">
      <w:start w:val="1"/>
      <w:numFmt w:val="decimal"/>
      <w:pStyle w:val="Rubrik2Nr"/>
      <w:lvlText w:val="%1.%2"/>
      <w:lvlJc w:val="left"/>
      <w:pPr>
        <w:ind w:left="576" w:hanging="576"/>
      </w:pPr>
      <w:rPr>
        <w:rFonts w:hint="default"/>
      </w:rPr>
    </w:lvl>
    <w:lvl w:ilvl="2">
      <w:start w:val="1"/>
      <w:numFmt w:val="decimal"/>
      <w:pStyle w:val="Rubrik3Nr"/>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9" w15:restartNumberingAfterBreak="0">
    <w:nsid w:val="38250F74"/>
    <w:multiLevelType w:val="hybridMultilevel"/>
    <w:tmpl w:val="72A0D87A"/>
    <w:lvl w:ilvl="0" w:tplc="7B8886BA">
      <w:start w:val="1"/>
      <w:numFmt w:val="bullet"/>
      <w:lvlText w:val=""/>
      <w:lvlJc w:val="left"/>
      <w:pPr>
        <w:ind w:left="720" w:hanging="360"/>
      </w:pPr>
      <w:rPr>
        <w:rFonts w:ascii="Symbol" w:hAnsi="Symbol" w:hint="default"/>
        <w:strike w:val="0"/>
        <w:color w:val="auto"/>
        <w:w w:val="100"/>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397E62"/>
    <w:multiLevelType w:val="hybridMultilevel"/>
    <w:tmpl w:val="9AA087FE"/>
    <w:lvl w:ilvl="0" w:tplc="9202F3EA">
      <w:numFmt w:val="bullet"/>
      <w:lvlText w:val="•"/>
      <w:lvlJc w:val="left"/>
      <w:pPr>
        <w:ind w:left="217" w:hanging="140"/>
      </w:pPr>
      <w:rPr>
        <w:rFonts w:ascii="Calibri" w:eastAsia="Calibri" w:hAnsi="Calibri" w:cs="Calibri" w:hint="default"/>
        <w:w w:val="80"/>
        <w:sz w:val="16"/>
        <w:szCs w:val="16"/>
      </w:rPr>
    </w:lvl>
    <w:lvl w:ilvl="1" w:tplc="1518AE94">
      <w:numFmt w:val="bullet"/>
      <w:lvlText w:val="•"/>
      <w:lvlJc w:val="left"/>
      <w:pPr>
        <w:ind w:left="630" w:hanging="140"/>
      </w:pPr>
    </w:lvl>
    <w:lvl w:ilvl="2" w:tplc="D974F468">
      <w:numFmt w:val="bullet"/>
      <w:lvlText w:val="•"/>
      <w:lvlJc w:val="left"/>
      <w:pPr>
        <w:ind w:left="1041" w:hanging="140"/>
      </w:pPr>
    </w:lvl>
    <w:lvl w:ilvl="3" w:tplc="FB9ADADC">
      <w:numFmt w:val="bullet"/>
      <w:lvlText w:val="•"/>
      <w:lvlJc w:val="left"/>
      <w:pPr>
        <w:ind w:left="1452" w:hanging="140"/>
      </w:pPr>
    </w:lvl>
    <w:lvl w:ilvl="4" w:tplc="D0386DCA">
      <w:numFmt w:val="bullet"/>
      <w:lvlText w:val="•"/>
      <w:lvlJc w:val="left"/>
      <w:pPr>
        <w:ind w:left="1863" w:hanging="140"/>
      </w:pPr>
    </w:lvl>
    <w:lvl w:ilvl="5" w:tplc="541E53FC">
      <w:numFmt w:val="bullet"/>
      <w:lvlText w:val="•"/>
      <w:lvlJc w:val="left"/>
      <w:pPr>
        <w:ind w:left="2274" w:hanging="140"/>
      </w:pPr>
    </w:lvl>
    <w:lvl w:ilvl="6" w:tplc="526EC17E">
      <w:numFmt w:val="bullet"/>
      <w:lvlText w:val="•"/>
      <w:lvlJc w:val="left"/>
      <w:pPr>
        <w:ind w:left="2685" w:hanging="140"/>
      </w:pPr>
    </w:lvl>
    <w:lvl w:ilvl="7" w:tplc="B2342782">
      <w:numFmt w:val="bullet"/>
      <w:lvlText w:val="•"/>
      <w:lvlJc w:val="left"/>
      <w:pPr>
        <w:ind w:left="3096" w:hanging="140"/>
      </w:pPr>
    </w:lvl>
    <w:lvl w:ilvl="8" w:tplc="1764D03A">
      <w:numFmt w:val="bullet"/>
      <w:lvlText w:val="•"/>
      <w:lvlJc w:val="left"/>
      <w:pPr>
        <w:ind w:left="3507" w:hanging="140"/>
      </w:pPr>
    </w:lvl>
  </w:abstractNum>
  <w:abstractNum w:abstractNumId="11" w15:restartNumberingAfterBreak="0">
    <w:nsid w:val="449142C6"/>
    <w:multiLevelType w:val="hybridMultilevel"/>
    <w:tmpl w:val="C6B23AB6"/>
    <w:lvl w:ilvl="0" w:tplc="7B8886BA">
      <w:start w:val="1"/>
      <w:numFmt w:val="bullet"/>
      <w:lvlText w:val=""/>
      <w:lvlJc w:val="left"/>
      <w:pPr>
        <w:ind w:left="1601" w:hanging="360"/>
      </w:pPr>
      <w:rPr>
        <w:rFonts w:ascii="Symbol" w:hAnsi="Symbol" w:hint="default"/>
        <w:strike w:val="0"/>
        <w:color w:val="auto"/>
        <w:w w:val="100"/>
        <w:sz w:val="18"/>
        <w:szCs w:val="18"/>
      </w:rPr>
    </w:lvl>
    <w:lvl w:ilvl="1" w:tplc="041D0003" w:tentative="1">
      <w:start w:val="1"/>
      <w:numFmt w:val="bullet"/>
      <w:lvlText w:val="o"/>
      <w:lvlJc w:val="left"/>
      <w:pPr>
        <w:ind w:left="2321" w:hanging="360"/>
      </w:pPr>
      <w:rPr>
        <w:rFonts w:ascii="Courier New" w:hAnsi="Courier New" w:cs="Courier New" w:hint="default"/>
      </w:rPr>
    </w:lvl>
    <w:lvl w:ilvl="2" w:tplc="041D0005" w:tentative="1">
      <w:start w:val="1"/>
      <w:numFmt w:val="bullet"/>
      <w:lvlText w:val=""/>
      <w:lvlJc w:val="left"/>
      <w:pPr>
        <w:ind w:left="3041" w:hanging="360"/>
      </w:pPr>
      <w:rPr>
        <w:rFonts w:ascii="Wingdings" w:hAnsi="Wingdings" w:hint="default"/>
      </w:rPr>
    </w:lvl>
    <w:lvl w:ilvl="3" w:tplc="041D0001" w:tentative="1">
      <w:start w:val="1"/>
      <w:numFmt w:val="bullet"/>
      <w:lvlText w:val=""/>
      <w:lvlJc w:val="left"/>
      <w:pPr>
        <w:ind w:left="3761" w:hanging="360"/>
      </w:pPr>
      <w:rPr>
        <w:rFonts w:ascii="Symbol" w:hAnsi="Symbol" w:hint="default"/>
      </w:rPr>
    </w:lvl>
    <w:lvl w:ilvl="4" w:tplc="041D0003" w:tentative="1">
      <w:start w:val="1"/>
      <w:numFmt w:val="bullet"/>
      <w:lvlText w:val="o"/>
      <w:lvlJc w:val="left"/>
      <w:pPr>
        <w:ind w:left="4481" w:hanging="360"/>
      </w:pPr>
      <w:rPr>
        <w:rFonts w:ascii="Courier New" w:hAnsi="Courier New" w:cs="Courier New" w:hint="default"/>
      </w:rPr>
    </w:lvl>
    <w:lvl w:ilvl="5" w:tplc="041D0005" w:tentative="1">
      <w:start w:val="1"/>
      <w:numFmt w:val="bullet"/>
      <w:lvlText w:val=""/>
      <w:lvlJc w:val="left"/>
      <w:pPr>
        <w:ind w:left="5201" w:hanging="360"/>
      </w:pPr>
      <w:rPr>
        <w:rFonts w:ascii="Wingdings" w:hAnsi="Wingdings" w:hint="default"/>
      </w:rPr>
    </w:lvl>
    <w:lvl w:ilvl="6" w:tplc="041D0001" w:tentative="1">
      <w:start w:val="1"/>
      <w:numFmt w:val="bullet"/>
      <w:lvlText w:val=""/>
      <w:lvlJc w:val="left"/>
      <w:pPr>
        <w:ind w:left="5921" w:hanging="360"/>
      </w:pPr>
      <w:rPr>
        <w:rFonts w:ascii="Symbol" w:hAnsi="Symbol" w:hint="default"/>
      </w:rPr>
    </w:lvl>
    <w:lvl w:ilvl="7" w:tplc="041D0003" w:tentative="1">
      <w:start w:val="1"/>
      <w:numFmt w:val="bullet"/>
      <w:lvlText w:val="o"/>
      <w:lvlJc w:val="left"/>
      <w:pPr>
        <w:ind w:left="6641" w:hanging="360"/>
      </w:pPr>
      <w:rPr>
        <w:rFonts w:ascii="Courier New" w:hAnsi="Courier New" w:cs="Courier New" w:hint="default"/>
      </w:rPr>
    </w:lvl>
    <w:lvl w:ilvl="8" w:tplc="041D0005" w:tentative="1">
      <w:start w:val="1"/>
      <w:numFmt w:val="bullet"/>
      <w:lvlText w:val=""/>
      <w:lvlJc w:val="left"/>
      <w:pPr>
        <w:ind w:left="7361" w:hanging="360"/>
      </w:pPr>
      <w:rPr>
        <w:rFonts w:ascii="Wingdings" w:hAnsi="Wingdings" w:hint="default"/>
      </w:rPr>
    </w:lvl>
  </w:abstractNum>
  <w:abstractNum w:abstractNumId="12" w15:restartNumberingAfterBreak="0">
    <w:nsid w:val="53B04726"/>
    <w:multiLevelType w:val="hybridMultilevel"/>
    <w:tmpl w:val="A09039A4"/>
    <w:lvl w:ilvl="0" w:tplc="A3A69742">
      <w:start w:val="1"/>
      <w:numFmt w:val="bullet"/>
      <w:lvlText w:val=""/>
      <w:lvlJc w:val="left"/>
      <w:pPr>
        <w:ind w:left="1601" w:hanging="360"/>
      </w:pPr>
      <w:rPr>
        <w:rFonts w:ascii="Symbol" w:hAnsi="Symbol" w:hint="default"/>
        <w:color w:val="auto"/>
        <w:w w:val="100"/>
        <w:sz w:val="18"/>
        <w:szCs w:val="24"/>
      </w:rPr>
    </w:lvl>
    <w:lvl w:ilvl="1" w:tplc="041D0003" w:tentative="1">
      <w:start w:val="1"/>
      <w:numFmt w:val="bullet"/>
      <w:lvlText w:val="o"/>
      <w:lvlJc w:val="left"/>
      <w:pPr>
        <w:ind w:left="2321" w:hanging="360"/>
      </w:pPr>
      <w:rPr>
        <w:rFonts w:ascii="Courier New" w:hAnsi="Courier New" w:cs="Courier New" w:hint="default"/>
      </w:rPr>
    </w:lvl>
    <w:lvl w:ilvl="2" w:tplc="041D0005" w:tentative="1">
      <w:start w:val="1"/>
      <w:numFmt w:val="bullet"/>
      <w:lvlText w:val=""/>
      <w:lvlJc w:val="left"/>
      <w:pPr>
        <w:ind w:left="3041" w:hanging="360"/>
      </w:pPr>
      <w:rPr>
        <w:rFonts w:ascii="Wingdings" w:hAnsi="Wingdings" w:hint="default"/>
      </w:rPr>
    </w:lvl>
    <w:lvl w:ilvl="3" w:tplc="041D0001" w:tentative="1">
      <w:start w:val="1"/>
      <w:numFmt w:val="bullet"/>
      <w:lvlText w:val=""/>
      <w:lvlJc w:val="left"/>
      <w:pPr>
        <w:ind w:left="3761" w:hanging="360"/>
      </w:pPr>
      <w:rPr>
        <w:rFonts w:ascii="Symbol" w:hAnsi="Symbol" w:hint="default"/>
      </w:rPr>
    </w:lvl>
    <w:lvl w:ilvl="4" w:tplc="041D0003" w:tentative="1">
      <w:start w:val="1"/>
      <w:numFmt w:val="bullet"/>
      <w:lvlText w:val="o"/>
      <w:lvlJc w:val="left"/>
      <w:pPr>
        <w:ind w:left="4481" w:hanging="360"/>
      </w:pPr>
      <w:rPr>
        <w:rFonts w:ascii="Courier New" w:hAnsi="Courier New" w:cs="Courier New" w:hint="default"/>
      </w:rPr>
    </w:lvl>
    <w:lvl w:ilvl="5" w:tplc="041D0005" w:tentative="1">
      <w:start w:val="1"/>
      <w:numFmt w:val="bullet"/>
      <w:lvlText w:val=""/>
      <w:lvlJc w:val="left"/>
      <w:pPr>
        <w:ind w:left="5201" w:hanging="360"/>
      </w:pPr>
      <w:rPr>
        <w:rFonts w:ascii="Wingdings" w:hAnsi="Wingdings" w:hint="default"/>
      </w:rPr>
    </w:lvl>
    <w:lvl w:ilvl="6" w:tplc="041D0001" w:tentative="1">
      <w:start w:val="1"/>
      <w:numFmt w:val="bullet"/>
      <w:lvlText w:val=""/>
      <w:lvlJc w:val="left"/>
      <w:pPr>
        <w:ind w:left="5921" w:hanging="360"/>
      </w:pPr>
      <w:rPr>
        <w:rFonts w:ascii="Symbol" w:hAnsi="Symbol" w:hint="default"/>
      </w:rPr>
    </w:lvl>
    <w:lvl w:ilvl="7" w:tplc="041D0003" w:tentative="1">
      <w:start w:val="1"/>
      <w:numFmt w:val="bullet"/>
      <w:lvlText w:val="o"/>
      <w:lvlJc w:val="left"/>
      <w:pPr>
        <w:ind w:left="6641" w:hanging="360"/>
      </w:pPr>
      <w:rPr>
        <w:rFonts w:ascii="Courier New" w:hAnsi="Courier New" w:cs="Courier New" w:hint="default"/>
      </w:rPr>
    </w:lvl>
    <w:lvl w:ilvl="8" w:tplc="041D0005" w:tentative="1">
      <w:start w:val="1"/>
      <w:numFmt w:val="bullet"/>
      <w:lvlText w:val=""/>
      <w:lvlJc w:val="left"/>
      <w:pPr>
        <w:ind w:left="7361" w:hanging="360"/>
      </w:pPr>
      <w:rPr>
        <w:rFonts w:ascii="Wingdings" w:hAnsi="Wingdings" w:hint="default"/>
      </w:rPr>
    </w:lvl>
  </w:abstractNum>
  <w:abstractNum w:abstractNumId="13" w15:restartNumberingAfterBreak="0">
    <w:nsid w:val="57BE6939"/>
    <w:multiLevelType w:val="hybridMultilevel"/>
    <w:tmpl w:val="086C72AC"/>
    <w:lvl w:ilvl="0" w:tplc="935E2266">
      <w:numFmt w:val="bullet"/>
      <w:lvlText w:val="•"/>
      <w:lvlJc w:val="left"/>
      <w:pPr>
        <w:ind w:left="217" w:hanging="140"/>
      </w:pPr>
      <w:rPr>
        <w:rFonts w:ascii="Calibri" w:eastAsia="Calibri" w:hAnsi="Calibri" w:cs="Calibri" w:hint="default"/>
        <w:w w:val="80"/>
        <w:sz w:val="16"/>
        <w:szCs w:val="16"/>
      </w:rPr>
    </w:lvl>
    <w:lvl w:ilvl="1" w:tplc="E90E725E">
      <w:numFmt w:val="bullet"/>
      <w:lvlText w:val="•"/>
      <w:lvlJc w:val="left"/>
      <w:pPr>
        <w:ind w:left="630" w:hanging="140"/>
      </w:pPr>
    </w:lvl>
    <w:lvl w:ilvl="2" w:tplc="E61A3850">
      <w:numFmt w:val="bullet"/>
      <w:lvlText w:val="•"/>
      <w:lvlJc w:val="left"/>
      <w:pPr>
        <w:ind w:left="1041" w:hanging="140"/>
      </w:pPr>
    </w:lvl>
    <w:lvl w:ilvl="3" w:tplc="BF5240F4">
      <w:numFmt w:val="bullet"/>
      <w:lvlText w:val="•"/>
      <w:lvlJc w:val="left"/>
      <w:pPr>
        <w:ind w:left="1452" w:hanging="140"/>
      </w:pPr>
    </w:lvl>
    <w:lvl w:ilvl="4" w:tplc="2D42CA5C">
      <w:numFmt w:val="bullet"/>
      <w:lvlText w:val="•"/>
      <w:lvlJc w:val="left"/>
      <w:pPr>
        <w:ind w:left="1863" w:hanging="140"/>
      </w:pPr>
    </w:lvl>
    <w:lvl w:ilvl="5" w:tplc="ADA8989C">
      <w:numFmt w:val="bullet"/>
      <w:lvlText w:val="•"/>
      <w:lvlJc w:val="left"/>
      <w:pPr>
        <w:ind w:left="2274" w:hanging="140"/>
      </w:pPr>
    </w:lvl>
    <w:lvl w:ilvl="6" w:tplc="1848C9B8">
      <w:numFmt w:val="bullet"/>
      <w:lvlText w:val="•"/>
      <w:lvlJc w:val="left"/>
      <w:pPr>
        <w:ind w:left="2685" w:hanging="140"/>
      </w:pPr>
    </w:lvl>
    <w:lvl w:ilvl="7" w:tplc="33FC9AF2">
      <w:numFmt w:val="bullet"/>
      <w:lvlText w:val="•"/>
      <w:lvlJc w:val="left"/>
      <w:pPr>
        <w:ind w:left="3096" w:hanging="140"/>
      </w:pPr>
    </w:lvl>
    <w:lvl w:ilvl="8" w:tplc="E2A45FE2">
      <w:numFmt w:val="bullet"/>
      <w:lvlText w:val="•"/>
      <w:lvlJc w:val="left"/>
      <w:pPr>
        <w:ind w:left="3507" w:hanging="140"/>
      </w:pPr>
    </w:lvl>
  </w:abstractNum>
  <w:abstractNum w:abstractNumId="14" w15:restartNumberingAfterBreak="0">
    <w:nsid w:val="624D6C6C"/>
    <w:multiLevelType w:val="hybridMultilevel"/>
    <w:tmpl w:val="F44A4088"/>
    <w:lvl w:ilvl="0" w:tplc="7B8886BA">
      <w:start w:val="1"/>
      <w:numFmt w:val="bullet"/>
      <w:lvlText w:val=""/>
      <w:lvlJc w:val="left"/>
      <w:pPr>
        <w:ind w:left="1601" w:hanging="360"/>
      </w:pPr>
      <w:rPr>
        <w:rFonts w:ascii="Symbol" w:hAnsi="Symbol" w:hint="default"/>
        <w:strike w:val="0"/>
        <w:color w:val="auto"/>
        <w:w w:val="100"/>
        <w:sz w:val="18"/>
        <w:szCs w:val="18"/>
      </w:rPr>
    </w:lvl>
    <w:lvl w:ilvl="1" w:tplc="041D0003" w:tentative="1">
      <w:start w:val="1"/>
      <w:numFmt w:val="bullet"/>
      <w:lvlText w:val="o"/>
      <w:lvlJc w:val="left"/>
      <w:pPr>
        <w:ind w:left="2321" w:hanging="360"/>
      </w:pPr>
      <w:rPr>
        <w:rFonts w:ascii="Courier New" w:hAnsi="Courier New" w:cs="Courier New" w:hint="default"/>
      </w:rPr>
    </w:lvl>
    <w:lvl w:ilvl="2" w:tplc="041D0005" w:tentative="1">
      <w:start w:val="1"/>
      <w:numFmt w:val="bullet"/>
      <w:lvlText w:val=""/>
      <w:lvlJc w:val="left"/>
      <w:pPr>
        <w:ind w:left="3041" w:hanging="360"/>
      </w:pPr>
      <w:rPr>
        <w:rFonts w:ascii="Wingdings" w:hAnsi="Wingdings" w:hint="default"/>
      </w:rPr>
    </w:lvl>
    <w:lvl w:ilvl="3" w:tplc="041D0001" w:tentative="1">
      <w:start w:val="1"/>
      <w:numFmt w:val="bullet"/>
      <w:lvlText w:val=""/>
      <w:lvlJc w:val="left"/>
      <w:pPr>
        <w:ind w:left="3761" w:hanging="360"/>
      </w:pPr>
      <w:rPr>
        <w:rFonts w:ascii="Symbol" w:hAnsi="Symbol" w:hint="default"/>
      </w:rPr>
    </w:lvl>
    <w:lvl w:ilvl="4" w:tplc="041D0003" w:tentative="1">
      <w:start w:val="1"/>
      <w:numFmt w:val="bullet"/>
      <w:lvlText w:val="o"/>
      <w:lvlJc w:val="left"/>
      <w:pPr>
        <w:ind w:left="4481" w:hanging="360"/>
      </w:pPr>
      <w:rPr>
        <w:rFonts w:ascii="Courier New" w:hAnsi="Courier New" w:cs="Courier New" w:hint="default"/>
      </w:rPr>
    </w:lvl>
    <w:lvl w:ilvl="5" w:tplc="041D0005" w:tentative="1">
      <w:start w:val="1"/>
      <w:numFmt w:val="bullet"/>
      <w:lvlText w:val=""/>
      <w:lvlJc w:val="left"/>
      <w:pPr>
        <w:ind w:left="5201" w:hanging="360"/>
      </w:pPr>
      <w:rPr>
        <w:rFonts w:ascii="Wingdings" w:hAnsi="Wingdings" w:hint="default"/>
      </w:rPr>
    </w:lvl>
    <w:lvl w:ilvl="6" w:tplc="041D0001" w:tentative="1">
      <w:start w:val="1"/>
      <w:numFmt w:val="bullet"/>
      <w:lvlText w:val=""/>
      <w:lvlJc w:val="left"/>
      <w:pPr>
        <w:ind w:left="5921" w:hanging="360"/>
      </w:pPr>
      <w:rPr>
        <w:rFonts w:ascii="Symbol" w:hAnsi="Symbol" w:hint="default"/>
      </w:rPr>
    </w:lvl>
    <w:lvl w:ilvl="7" w:tplc="041D0003" w:tentative="1">
      <w:start w:val="1"/>
      <w:numFmt w:val="bullet"/>
      <w:lvlText w:val="o"/>
      <w:lvlJc w:val="left"/>
      <w:pPr>
        <w:ind w:left="6641" w:hanging="360"/>
      </w:pPr>
      <w:rPr>
        <w:rFonts w:ascii="Courier New" w:hAnsi="Courier New" w:cs="Courier New" w:hint="default"/>
      </w:rPr>
    </w:lvl>
    <w:lvl w:ilvl="8" w:tplc="041D0005" w:tentative="1">
      <w:start w:val="1"/>
      <w:numFmt w:val="bullet"/>
      <w:lvlText w:val=""/>
      <w:lvlJc w:val="left"/>
      <w:pPr>
        <w:ind w:left="7361" w:hanging="360"/>
      </w:pPr>
      <w:rPr>
        <w:rFonts w:ascii="Wingdings" w:hAnsi="Wingdings" w:hint="default"/>
      </w:rPr>
    </w:lvl>
  </w:abstractNum>
  <w:abstractNum w:abstractNumId="15" w15:restartNumberingAfterBreak="0">
    <w:nsid w:val="6A837729"/>
    <w:multiLevelType w:val="hybridMultilevel"/>
    <w:tmpl w:val="6A6C091A"/>
    <w:lvl w:ilvl="0" w:tplc="A628BFA0">
      <w:numFmt w:val="bullet"/>
      <w:lvlText w:val="•"/>
      <w:lvlJc w:val="left"/>
      <w:pPr>
        <w:ind w:left="217" w:hanging="140"/>
      </w:pPr>
      <w:rPr>
        <w:rFonts w:ascii="Calibri" w:eastAsia="Calibri" w:hAnsi="Calibri" w:cs="Calibri" w:hint="default"/>
        <w:w w:val="80"/>
        <w:sz w:val="16"/>
        <w:szCs w:val="16"/>
      </w:rPr>
    </w:lvl>
    <w:lvl w:ilvl="1" w:tplc="1948621C">
      <w:numFmt w:val="bullet"/>
      <w:lvlText w:val="•"/>
      <w:lvlJc w:val="left"/>
      <w:pPr>
        <w:ind w:left="630" w:hanging="140"/>
      </w:pPr>
    </w:lvl>
    <w:lvl w:ilvl="2" w:tplc="2160ACC6">
      <w:numFmt w:val="bullet"/>
      <w:lvlText w:val="•"/>
      <w:lvlJc w:val="left"/>
      <w:pPr>
        <w:ind w:left="1041" w:hanging="140"/>
      </w:pPr>
    </w:lvl>
    <w:lvl w:ilvl="3" w:tplc="D3FC00EE">
      <w:numFmt w:val="bullet"/>
      <w:lvlText w:val="•"/>
      <w:lvlJc w:val="left"/>
      <w:pPr>
        <w:ind w:left="1452" w:hanging="140"/>
      </w:pPr>
    </w:lvl>
    <w:lvl w:ilvl="4" w:tplc="19B0DDC8">
      <w:numFmt w:val="bullet"/>
      <w:lvlText w:val="•"/>
      <w:lvlJc w:val="left"/>
      <w:pPr>
        <w:ind w:left="1863" w:hanging="140"/>
      </w:pPr>
    </w:lvl>
    <w:lvl w:ilvl="5" w:tplc="CD90C110">
      <w:numFmt w:val="bullet"/>
      <w:lvlText w:val="•"/>
      <w:lvlJc w:val="left"/>
      <w:pPr>
        <w:ind w:left="2274" w:hanging="140"/>
      </w:pPr>
    </w:lvl>
    <w:lvl w:ilvl="6" w:tplc="21D08A6C">
      <w:numFmt w:val="bullet"/>
      <w:lvlText w:val="•"/>
      <w:lvlJc w:val="left"/>
      <w:pPr>
        <w:ind w:left="2685" w:hanging="140"/>
      </w:pPr>
    </w:lvl>
    <w:lvl w:ilvl="7" w:tplc="C5CEFEC0">
      <w:numFmt w:val="bullet"/>
      <w:lvlText w:val="•"/>
      <w:lvlJc w:val="left"/>
      <w:pPr>
        <w:ind w:left="3096" w:hanging="140"/>
      </w:pPr>
    </w:lvl>
    <w:lvl w:ilvl="8" w:tplc="AFA844FE">
      <w:numFmt w:val="bullet"/>
      <w:lvlText w:val="•"/>
      <w:lvlJc w:val="left"/>
      <w:pPr>
        <w:ind w:left="3507" w:hanging="140"/>
      </w:pPr>
    </w:lvl>
  </w:abstractNum>
  <w:abstractNum w:abstractNumId="16"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7" w15:restartNumberingAfterBreak="0">
    <w:nsid w:val="7CEA6308"/>
    <w:multiLevelType w:val="hybridMultilevel"/>
    <w:tmpl w:val="09F8A9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7D32418B"/>
    <w:multiLevelType w:val="hybridMultilevel"/>
    <w:tmpl w:val="581A2F24"/>
    <w:lvl w:ilvl="0" w:tplc="C840BD24">
      <w:numFmt w:val="bullet"/>
      <w:lvlText w:val="•"/>
      <w:lvlJc w:val="left"/>
      <w:pPr>
        <w:ind w:left="217" w:hanging="140"/>
      </w:pPr>
      <w:rPr>
        <w:rFonts w:ascii="Calibri" w:eastAsia="Calibri" w:hAnsi="Calibri" w:cs="Calibri" w:hint="default"/>
        <w:w w:val="80"/>
        <w:sz w:val="16"/>
        <w:szCs w:val="16"/>
      </w:rPr>
    </w:lvl>
    <w:lvl w:ilvl="1" w:tplc="BF08432A">
      <w:numFmt w:val="bullet"/>
      <w:lvlText w:val="•"/>
      <w:lvlJc w:val="left"/>
      <w:pPr>
        <w:ind w:left="630" w:hanging="140"/>
      </w:pPr>
    </w:lvl>
    <w:lvl w:ilvl="2" w:tplc="0AB0494E">
      <w:numFmt w:val="bullet"/>
      <w:lvlText w:val="•"/>
      <w:lvlJc w:val="left"/>
      <w:pPr>
        <w:ind w:left="1041" w:hanging="140"/>
      </w:pPr>
    </w:lvl>
    <w:lvl w:ilvl="3" w:tplc="C0C86AE8">
      <w:numFmt w:val="bullet"/>
      <w:lvlText w:val="•"/>
      <w:lvlJc w:val="left"/>
      <w:pPr>
        <w:ind w:left="1452" w:hanging="140"/>
      </w:pPr>
    </w:lvl>
    <w:lvl w:ilvl="4" w:tplc="A65C9A62">
      <w:numFmt w:val="bullet"/>
      <w:lvlText w:val="•"/>
      <w:lvlJc w:val="left"/>
      <w:pPr>
        <w:ind w:left="1863" w:hanging="140"/>
      </w:pPr>
    </w:lvl>
    <w:lvl w:ilvl="5" w:tplc="401CE56E">
      <w:numFmt w:val="bullet"/>
      <w:lvlText w:val="•"/>
      <w:lvlJc w:val="left"/>
      <w:pPr>
        <w:ind w:left="2274" w:hanging="140"/>
      </w:pPr>
    </w:lvl>
    <w:lvl w:ilvl="6" w:tplc="3284439C">
      <w:numFmt w:val="bullet"/>
      <w:lvlText w:val="•"/>
      <w:lvlJc w:val="left"/>
      <w:pPr>
        <w:ind w:left="2685" w:hanging="140"/>
      </w:pPr>
    </w:lvl>
    <w:lvl w:ilvl="7" w:tplc="0A3ABA0E">
      <w:numFmt w:val="bullet"/>
      <w:lvlText w:val="•"/>
      <w:lvlJc w:val="left"/>
      <w:pPr>
        <w:ind w:left="3096" w:hanging="140"/>
      </w:pPr>
    </w:lvl>
    <w:lvl w:ilvl="8" w:tplc="45EE2E76">
      <w:numFmt w:val="bullet"/>
      <w:lvlText w:val="•"/>
      <w:lvlJc w:val="left"/>
      <w:pPr>
        <w:ind w:left="3507" w:hanging="140"/>
      </w:pPr>
    </w:lvl>
  </w:abstractNum>
  <w:num w:numId="1">
    <w:abstractNumId w:val="0"/>
  </w:num>
  <w:num w:numId="2">
    <w:abstractNumId w:val="16"/>
  </w:num>
  <w:num w:numId="3">
    <w:abstractNumId w:val="8"/>
  </w:num>
  <w:num w:numId="4">
    <w:abstractNumId w:val="7"/>
  </w:num>
  <w:num w:numId="5">
    <w:abstractNumId w:val="17"/>
  </w:num>
  <w:num w:numId="6">
    <w:abstractNumId w:val="1"/>
  </w:num>
  <w:num w:numId="7">
    <w:abstractNumId w:val="11"/>
  </w:num>
  <w:num w:numId="8">
    <w:abstractNumId w:val="12"/>
  </w:num>
  <w:num w:numId="9">
    <w:abstractNumId w:val="14"/>
  </w:num>
  <w:num w:numId="10">
    <w:abstractNumId w:val="4"/>
  </w:num>
  <w:num w:numId="11">
    <w:abstractNumId w:val="5"/>
  </w:num>
  <w:num w:numId="12">
    <w:abstractNumId w:val="9"/>
  </w:num>
  <w:num w:numId="13">
    <w:abstractNumId w:val="18"/>
  </w:num>
  <w:num w:numId="14">
    <w:abstractNumId w:val="10"/>
  </w:num>
  <w:num w:numId="15">
    <w:abstractNumId w:val="3"/>
  </w:num>
  <w:num w:numId="16">
    <w:abstractNumId w:val="2"/>
  </w:num>
  <w:num w:numId="17">
    <w:abstractNumId w:val="15"/>
  </w:num>
  <w:num w:numId="18">
    <w:abstractNumId w:val="13"/>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20-10-28"/>
    <w:docVar w:name="DVarDepartment" w:val="Kommunikationsstaben"/>
    <w:docVar w:name="DVarDoktyp" w:val="Mål och Budget "/>
    <w:docVar w:name="DVarKontor" w:val="Kommunstyrelsens kontor"/>
    <w:docVar w:name="DVarKontorEng" w:val="Office of the Municipal Executive Committee"/>
    <w:docVar w:name="DVarLanguage" w:val="Sv"/>
    <w:docVar w:name="DVarNumbering" w:val="-1"/>
    <w:docVar w:name="DVarPageNumberInserted" w:val="Yes"/>
    <w:docVar w:name="DVarTitle" w:val="Mål och budget för 2021 med plan för 2022 och 2023"/>
  </w:docVars>
  <w:rsids>
    <w:rsidRoot w:val="00847613"/>
    <w:rsid w:val="0000082E"/>
    <w:rsid w:val="00000D68"/>
    <w:rsid w:val="00001DAA"/>
    <w:rsid w:val="000042F3"/>
    <w:rsid w:val="00004D93"/>
    <w:rsid w:val="00005257"/>
    <w:rsid w:val="00013600"/>
    <w:rsid w:val="00014500"/>
    <w:rsid w:val="00014BF3"/>
    <w:rsid w:val="000164EA"/>
    <w:rsid w:val="000168CF"/>
    <w:rsid w:val="00017BB0"/>
    <w:rsid w:val="00021378"/>
    <w:rsid w:val="00022CEE"/>
    <w:rsid w:val="00024698"/>
    <w:rsid w:val="00027547"/>
    <w:rsid w:val="000277C7"/>
    <w:rsid w:val="00027C58"/>
    <w:rsid w:val="00027EA7"/>
    <w:rsid w:val="000304E3"/>
    <w:rsid w:val="0003288E"/>
    <w:rsid w:val="0003312C"/>
    <w:rsid w:val="000331EC"/>
    <w:rsid w:val="0003363A"/>
    <w:rsid w:val="000353E9"/>
    <w:rsid w:val="000365B4"/>
    <w:rsid w:val="00040301"/>
    <w:rsid w:val="000431A2"/>
    <w:rsid w:val="00043529"/>
    <w:rsid w:val="00043593"/>
    <w:rsid w:val="00043B99"/>
    <w:rsid w:val="000440AD"/>
    <w:rsid w:val="000450D0"/>
    <w:rsid w:val="0004558F"/>
    <w:rsid w:val="00046D5B"/>
    <w:rsid w:val="0005141F"/>
    <w:rsid w:val="0005155F"/>
    <w:rsid w:val="00052224"/>
    <w:rsid w:val="00054AED"/>
    <w:rsid w:val="00055633"/>
    <w:rsid w:val="00055FCD"/>
    <w:rsid w:val="000606CA"/>
    <w:rsid w:val="00061E6F"/>
    <w:rsid w:val="00062706"/>
    <w:rsid w:val="000642F2"/>
    <w:rsid w:val="00066654"/>
    <w:rsid w:val="0007138D"/>
    <w:rsid w:val="00072430"/>
    <w:rsid w:val="000738F0"/>
    <w:rsid w:val="00073CD2"/>
    <w:rsid w:val="00073CF2"/>
    <w:rsid w:val="00075F2D"/>
    <w:rsid w:val="000778B9"/>
    <w:rsid w:val="000823EA"/>
    <w:rsid w:val="00082E4B"/>
    <w:rsid w:val="00086BDB"/>
    <w:rsid w:val="000913E9"/>
    <w:rsid w:val="0009211A"/>
    <w:rsid w:val="000937FD"/>
    <w:rsid w:val="00094077"/>
    <w:rsid w:val="000940DB"/>
    <w:rsid w:val="000946AD"/>
    <w:rsid w:val="0009526D"/>
    <w:rsid w:val="000A1D95"/>
    <w:rsid w:val="000A1F6C"/>
    <w:rsid w:val="000A38BA"/>
    <w:rsid w:val="000A5678"/>
    <w:rsid w:val="000A6429"/>
    <w:rsid w:val="000B0D5E"/>
    <w:rsid w:val="000B1DCF"/>
    <w:rsid w:val="000B240E"/>
    <w:rsid w:val="000B3049"/>
    <w:rsid w:val="000B3F24"/>
    <w:rsid w:val="000B44E1"/>
    <w:rsid w:val="000C3965"/>
    <w:rsid w:val="000C3C6A"/>
    <w:rsid w:val="000C5F85"/>
    <w:rsid w:val="000C63AA"/>
    <w:rsid w:val="000C686B"/>
    <w:rsid w:val="000C7FB1"/>
    <w:rsid w:val="000D19A7"/>
    <w:rsid w:val="000D2A63"/>
    <w:rsid w:val="000D4078"/>
    <w:rsid w:val="000D4B7E"/>
    <w:rsid w:val="000D4F5F"/>
    <w:rsid w:val="000D52C9"/>
    <w:rsid w:val="000D77AD"/>
    <w:rsid w:val="000D7C75"/>
    <w:rsid w:val="000E02CB"/>
    <w:rsid w:val="000E0324"/>
    <w:rsid w:val="000E123B"/>
    <w:rsid w:val="000E13E3"/>
    <w:rsid w:val="000E3344"/>
    <w:rsid w:val="000E4246"/>
    <w:rsid w:val="000E549F"/>
    <w:rsid w:val="000E6D16"/>
    <w:rsid w:val="000E7725"/>
    <w:rsid w:val="000F0BBF"/>
    <w:rsid w:val="000F0E64"/>
    <w:rsid w:val="000F2DC6"/>
    <w:rsid w:val="000F3AD0"/>
    <w:rsid w:val="000F54F5"/>
    <w:rsid w:val="000F783C"/>
    <w:rsid w:val="000F7D1A"/>
    <w:rsid w:val="0010041D"/>
    <w:rsid w:val="00100571"/>
    <w:rsid w:val="00100F7D"/>
    <w:rsid w:val="0010243F"/>
    <w:rsid w:val="00102D4B"/>
    <w:rsid w:val="001071C9"/>
    <w:rsid w:val="001113AC"/>
    <w:rsid w:val="00111C1C"/>
    <w:rsid w:val="00113739"/>
    <w:rsid w:val="0011381A"/>
    <w:rsid w:val="001157A4"/>
    <w:rsid w:val="00116300"/>
    <w:rsid w:val="00116D4C"/>
    <w:rsid w:val="00121666"/>
    <w:rsid w:val="00121869"/>
    <w:rsid w:val="00122B6A"/>
    <w:rsid w:val="00122C4C"/>
    <w:rsid w:val="0012323E"/>
    <w:rsid w:val="00126563"/>
    <w:rsid w:val="001301D3"/>
    <w:rsid w:val="00132D1E"/>
    <w:rsid w:val="00133340"/>
    <w:rsid w:val="001340C8"/>
    <w:rsid w:val="0013489A"/>
    <w:rsid w:val="00134BE6"/>
    <w:rsid w:val="001409C4"/>
    <w:rsid w:val="0014136B"/>
    <w:rsid w:val="001443D2"/>
    <w:rsid w:val="00144C21"/>
    <w:rsid w:val="00144C40"/>
    <w:rsid w:val="00144ECF"/>
    <w:rsid w:val="00145644"/>
    <w:rsid w:val="0014636A"/>
    <w:rsid w:val="001473DF"/>
    <w:rsid w:val="00147635"/>
    <w:rsid w:val="00147EED"/>
    <w:rsid w:val="00150CFD"/>
    <w:rsid w:val="00151EB0"/>
    <w:rsid w:val="00152058"/>
    <w:rsid w:val="00153613"/>
    <w:rsid w:val="0015550E"/>
    <w:rsid w:val="001558D7"/>
    <w:rsid w:val="00155D29"/>
    <w:rsid w:val="00156619"/>
    <w:rsid w:val="00156DE5"/>
    <w:rsid w:val="00160B17"/>
    <w:rsid w:val="00161DF6"/>
    <w:rsid w:val="00161E31"/>
    <w:rsid w:val="00165377"/>
    <w:rsid w:val="001659C9"/>
    <w:rsid w:val="001661EE"/>
    <w:rsid w:val="001701D6"/>
    <w:rsid w:val="001728A6"/>
    <w:rsid w:val="00172E9B"/>
    <w:rsid w:val="00175AD7"/>
    <w:rsid w:val="001771D3"/>
    <w:rsid w:val="0017728D"/>
    <w:rsid w:val="0018150A"/>
    <w:rsid w:val="0018346D"/>
    <w:rsid w:val="001849F1"/>
    <w:rsid w:val="001853A1"/>
    <w:rsid w:val="0018636F"/>
    <w:rsid w:val="00190A87"/>
    <w:rsid w:val="001936B2"/>
    <w:rsid w:val="00194E3D"/>
    <w:rsid w:val="00196BFC"/>
    <w:rsid w:val="0019758C"/>
    <w:rsid w:val="001A038B"/>
    <w:rsid w:val="001A12A4"/>
    <w:rsid w:val="001A2448"/>
    <w:rsid w:val="001A360B"/>
    <w:rsid w:val="001A3BB0"/>
    <w:rsid w:val="001A42CF"/>
    <w:rsid w:val="001B0C35"/>
    <w:rsid w:val="001B1ED4"/>
    <w:rsid w:val="001B29E1"/>
    <w:rsid w:val="001B2F58"/>
    <w:rsid w:val="001B39E3"/>
    <w:rsid w:val="001B5EDD"/>
    <w:rsid w:val="001C0159"/>
    <w:rsid w:val="001C2C9B"/>
    <w:rsid w:val="001C344B"/>
    <w:rsid w:val="001C47A5"/>
    <w:rsid w:val="001C7A3B"/>
    <w:rsid w:val="001D1BD5"/>
    <w:rsid w:val="001D21AC"/>
    <w:rsid w:val="001D258F"/>
    <w:rsid w:val="001D45A2"/>
    <w:rsid w:val="001D5342"/>
    <w:rsid w:val="001D59D1"/>
    <w:rsid w:val="001D6360"/>
    <w:rsid w:val="001D7367"/>
    <w:rsid w:val="001D766F"/>
    <w:rsid w:val="001E1E3B"/>
    <w:rsid w:val="001E237E"/>
    <w:rsid w:val="001E4C60"/>
    <w:rsid w:val="001E7934"/>
    <w:rsid w:val="001F2091"/>
    <w:rsid w:val="001F5908"/>
    <w:rsid w:val="001F7637"/>
    <w:rsid w:val="001F782E"/>
    <w:rsid w:val="00200545"/>
    <w:rsid w:val="00203800"/>
    <w:rsid w:val="00205B47"/>
    <w:rsid w:val="00205D93"/>
    <w:rsid w:val="00206C05"/>
    <w:rsid w:val="00206C0C"/>
    <w:rsid w:val="00210F7F"/>
    <w:rsid w:val="002112D1"/>
    <w:rsid w:val="00211BF9"/>
    <w:rsid w:val="00212C8C"/>
    <w:rsid w:val="002135D5"/>
    <w:rsid w:val="00213BBB"/>
    <w:rsid w:val="002142FC"/>
    <w:rsid w:val="0021499D"/>
    <w:rsid w:val="00214D98"/>
    <w:rsid w:val="00215016"/>
    <w:rsid w:val="002209FC"/>
    <w:rsid w:val="00221ED8"/>
    <w:rsid w:val="00222AFF"/>
    <w:rsid w:val="0022330E"/>
    <w:rsid w:val="002246B6"/>
    <w:rsid w:val="00224E5C"/>
    <w:rsid w:val="002254E8"/>
    <w:rsid w:val="00226321"/>
    <w:rsid w:val="00226EB6"/>
    <w:rsid w:val="002304D7"/>
    <w:rsid w:val="0023060E"/>
    <w:rsid w:val="002316A0"/>
    <w:rsid w:val="0023352D"/>
    <w:rsid w:val="002341AB"/>
    <w:rsid w:val="0024194C"/>
    <w:rsid w:val="00245F09"/>
    <w:rsid w:val="00250D13"/>
    <w:rsid w:val="00251931"/>
    <w:rsid w:val="002519DB"/>
    <w:rsid w:val="00253C99"/>
    <w:rsid w:val="00253E9E"/>
    <w:rsid w:val="00254434"/>
    <w:rsid w:val="00256CA5"/>
    <w:rsid w:val="00265161"/>
    <w:rsid w:val="0026563D"/>
    <w:rsid w:val="0026688E"/>
    <w:rsid w:val="002671A6"/>
    <w:rsid w:val="002676DC"/>
    <w:rsid w:val="00267D28"/>
    <w:rsid w:val="002720E5"/>
    <w:rsid w:val="002730CA"/>
    <w:rsid w:val="00273DF3"/>
    <w:rsid w:val="00276583"/>
    <w:rsid w:val="00277977"/>
    <w:rsid w:val="00280097"/>
    <w:rsid w:val="002800AA"/>
    <w:rsid w:val="002800FF"/>
    <w:rsid w:val="00280FE2"/>
    <w:rsid w:val="00281934"/>
    <w:rsid w:val="00282F85"/>
    <w:rsid w:val="0028314B"/>
    <w:rsid w:val="00283186"/>
    <w:rsid w:val="00283611"/>
    <w:rsid w:val="00284A4B"/>
    <w:rsid w:val="00284C75"/>
    <w:rsid w:val="002861FA"/>
    <w:rsid w:val="002865BD"/>
    <w:rsid w:val="00290CF8"/>
    <w:rsid w:val="002913FD"/>
    <w:rsid w:val="00291AC1"/>
    <w:rsid w:val="00293D65"/>
    <w:rsid w:val="00294391"/>
    <w:rsid w:val="002947F1"/>
    <w:rsid w:val="002966E4"/>
    <w:rsid w:val="002968AE"/>
    <w:rsid w:val="00297902"/>
    <w:rsid w:val="002A1B9A"/>
    <w:rsid w:val="002A7242"/>
    <w:rsid w:val="002B05CD"/>
    <w:rsid w:val="002B06BD"/>
    <w:rsid w:val="002B3496"/>
    <w:rsid w:val="002B5087"/>
    <w:rsid w:val="002C1921"/>
    <w:rsid w:val="002C2771"/>
    <w:rsid w:val="002C5069"/>
    <w:rsid w:val="002C5AA2"/>
    <w:rsid w:val="002D2183"/>
    <w:rsid w:val="002D232F"/>
    <w:rsid w:val="002D4055"/>
    <w:rsid w:val="002D4306"/>
    <w:rsid w:val="002D4A14"/>
    <w:rsid w:val="002D4AC7"/>
    <w:rsid w:val="002D562C"/>
    <w:rsid w:val="002E09DB"/>
    <w:rsid w:val="002E0AB0"/>
    <w:rsid w:val="002E2926"/>
    <w:rsid w:val="002E3CFC"/>
    <w:rsid w:val="002E558B"/>
    <w:rsid w:val="002E792E"/>
    <w:rsid w:val="002E7A0C"/>
    <w:rsid w:val="002F122F"/>
    <w:rsid w:val="002F1A95"/>
    <w:rsid w:val="002F2BB9"/>
    <w:rsid w:val="002F3BEE"/>
    <w:rsid w:val="002F6C62"/>
    <w:rsid w:val="00301116"/>
    <w:rsid w:val="00303354"/>
    <w:rsid w:val="00304BA9"/>
    <w:rsid w:val="003059B8"/>
    <w:rsid w:val="003124EA"/>
    <w:rsid w:val="00312599"/>
    <w:rsid w:val="00312B64"/>
    <w:rsid w:val="0031302F"/>
    <w:rsid w:val="00313BE9"/>
    <w:rsid w:val="003148D7"/>
    <w:rsid w:val="00315504"/>
    <w:rsid w:val="00317F8A"/>
    <w:rsid w:val="003200BC"/>
    <w:rsid w:val="00320ADD"/>
    <w:rsid w:val="00320D8E"/>
    <w:rsid w:val="00323EF5"/>
    <w:rsid w:val="00326F3D"/>
    <w:rsid w:val="00327887"/>
    <w:rsid w:val="00333689"/>
    <w:rsid w:val="003374FB"/>
    <w:rsid w:val="00337622"/>
    <w:rsid w:val="00337A3F"/>
    <w:rsid w:val="0034039C"/>
    <w:rsid w:val="00341AAD"/>
    <w:rsid w:val="0034257D"/>
    <w:rsid w:val="00345B49"/>
    <w:rsid w:val="0034644C"/>
    <w:rsid w:val="00347DBF"/>
    <w:rsid w:val="003522B2"/>
    <w:rsid w:val="0035302D"/>
    <w:rsid w:val="003540FF"/>
    <w:rsid w:val="0035470D"/>
    <w:rsid w:val="003551DE"/>
    <w:rsid w:val="003563E7"/>
    <w:rsid w:val="003565FE"/>
    <w:rsid w:val="003601CB"/>
    <w:rsid w:val="00361D09"/>
    <w:rsid w:val="00362DFB"/>
    <w:rsid w:val="00363685"/>
    <w:rsid w:val="003648D9"/>
    <w:rsid w:val="003661CA"/>
    <w:rsid w:val="003664B7"/>
    <w:rsid w:val="00367343"/>
    <w:rsid w:val="00371808"/>
    <w:rsid w:val="00373717"/>
    <w:rsid w:val="00374C2B"/>
    <w:rsid w:val="003751A5"/>
    <w:rsid w:val="00375841"/>
    <w:rsid w:val="00376FF5"/>
    <w:rsid w:val="003771BD"/>
    <w:rsid w:val="00377FE1"/>
    <w:rsid w:val="003829DF"/>
    <w:rsid w:val="00382A91"/>
    <w:rsid w:val="00382CE6"/>
    <w:rsid w:val="00382EF9"/>
    <w:rsid w:val="003834D7"/>
    <w:rsid w:val="00384A73"/>
    <w:rsid w:val="00386065"/>
    <w:rsid w:val="00386B83"/>
    <w:rsid w:val="003871AE"/>
    <w:rsid w:val="00392EAA"/>
    <w:rsid w:val="003933D7"/>
    <w:rsid w:val="00394B75"/>
    <w:rsid w:val="00394FB2"/>
    <w:rsid w:val="0039514E"/>
    <w:rsid w:val="00396206"/>
    <w:rsid w:val="0039785C"/>
    <w:rsid w:val="00397CDB"/>
    <w:rsid w:val="003A00A5"/>
    <w:rsid w:val="003A0924"/>
    <w:rsid w:val="003A1158"/>
    <w:rsid w:val="003A12D7"/>
    <w:rsid w:val="003A22F0"/>
    <w:rsid w:val="003A3BE7"/>
    <w:rsid w:val="003A4D77"/>
    <w:rsid w:val="003A511E"/>
    <w:rsid w:val="003A520D"/>
    <w:rsid w:val="003B27E1"/>
    <w:rsid w:val="003B3791"/>
    <w:rsid w:val="003B4A04"/>
    <w:rsid w:val="003C0679"/>
    <w:rsid w:val="003C0CFD"/>
    <w:rsid w:val="003C10D2"/>
    <w:rsid w:val="003C10DF"/>
    <w:rsid w:val="003C153E"/>
    <w:rsid w:val="003C1AAF"/>
    <w:rsid w:val="003C26DD"/>
    <w:rsid w:val="003C6080"/>
    <w:rsid w:val="003D0203"/>
    <w:rsid w:val="003D187B"/>
    <w:rsid w:val="003D1B79"/>
    <w:rsid w:val="003D3278"/>
    <w:rsid w:val="003D3504"/>
    <w:rsid w:val="003D3A96"/>
    <w:rsid w:val="003D4F90"/>
    <w:rsid w:val="003D5911"/>
    <w:rsid w:val="003D69F4"/>
    <w:rsid w:val="003D791D"/>
    <w:rsid w:val="003D7DAE"/>
    <w:rsid w:val="003E285F"/>
    <w:rsid w:val="003E2DB8"/>
    <w:rsid w:val="003E392D"/>
    <w:rsid w:val="003E4D60"/>
    <w:rsid w:val="003E529B"/>
    <w:rsid w:val="003E6421"/>
    <w:rsid w:val="003E7F22"/>
    <w:rsid w:val="003F02BF"/>
    <w:rsid w:val="003F33F2"/>
    <w:rsid w:val="003F515C"/>
    <w:rsid w:val="003F5761"/>
    <w:rsid w:val="003F5BB1"/>
    <w:rsid w:val="003F6440"/>
    <w:rsid w:val="003F6E48"/>
    <w:rsid w:val="00400ED7"/>
    <w:rsid w:val="00403C44"/>
    <w:rsid w:val="00405124"/>
    <w:rsid w:val="004068A2"/>
    <w:rsid w:val="00406935"/>
    <w:rsid w:val="004072BD"/>
    <w:rsid w:val="004107C3"/>
    <w:rsid w:val="00411166"/>
    <w:rsid w:val="004111DF"/>
    <w:rsid w:val="00411542"/>
    <w:rsid w:val="00412377"/>
    <w:rsid w:val="00413206"/>
    <w:rsid w:val="00414BA2"/>
    <w:rsid w:val="00416160"/>
    <w:rsid w:val="004166EC"/>
    <w:rsid w:val="00420243"/>
    <w:rsid w:val="00420464"/>
    <w:rsid w:val="00420792"/>
    <w:rsid w:val="0042139E"/>
    <w:rsid w:val="00421B4F"/>
    <w:rsid w:val="00422226"/>
    <w:rsid w:val="00424D24"/>
    <w:rsid w:val="0042712B"/>
    <w:rsid w:val="00427A51"/>
    <w:rsid w:val="00430EC0"/>
    <w:rsid w:val="00430F36"/>
    <w:rsid w:val="0043105B"/>
    <w:rsid w:val="004319B8"/>
    <w:rsid w:val="00434A48"/>
    <w:rsid w:val="00434FC7"/>
    <w:rsid w:val="0043555A"/>
    <w:rsid w:val="0043555E"/>
    <w:rsid w:val="0043560C"/>
    <w:rsid w:val="00435947"/>
    <w:rsid w:val="00436805"/>
    <w:rsid w:val="00437661"/>
    <w:rsid w:val="00442E89"/>
    <w:rsid w:val="00446A67"/>
    <w:rsid w:val="004470E1"/>
    <w:rsid w:val="00447594"/>
    <w:rsid w:val="00450404"/>
    <w:rsid w:val="004548D1"/>
    <w:rsid w:val="00457D5F"/>
    <w:rsid w:val="00461AEA"/>
    <w:rsid w:val="004634A3"/>
    <w:rsid w:val="004637D8"/>
    <w:rsid w:val="00463D7D"/>
    <w:rsid w:val="00467988"/>
    <w:rsid w:val="0046798B"/>
    <w:rsid w:val="0047190E"/>
    <w:rsid w:val="00472640"/>
    <w:rsid w:val="004765F9"/>
    <w:rsid w:val="004819B6"/>
    <w:rsid w:val="0048514A"/>
    <w:rsid w:val="00485AF2"/>
    <w:rsid w:val="0048644E"/>
    <w:rsid w:val="00487645"/>
    <w:rsid w:val="004876D8"/>
    <w:rsid w:val="0049043A"/>
    <w:rsid w:val="00490C27"/>
    <w:rsid w:val="00496436"/>
    <w:rsid w:val="00496738"/>
    <w:rsid w:val="004A09E8"/>
    <w:rsid w:val="004A4239"/>
    <w:rsid w:val="004A515C"/>
    <w:rsid w:val="004A584F"/>
    <w:rsid w:val="004A6004"/>
    <w:rsid w:val="004A6677"/>
    <w:rsid w:val="004A7148"/>
    <w:rsid w:val="004A7E35"/>
    <w:rsid w:val="004B187F"/>
    <w:rsid w:val="004B256E"/>
    <w:rsid w:val="004B41CB"/>
    <w:rsid w:val="004B5871"/>
    <w:rsid w:val="004B5FDE"/>
    <w:rsid w:val="004C06F3"/>
    <w:rsid w:val="004C1357"/>
    <w:rsid w:val="004C1AA0"/>
    <w:rsid w:val="004C391D"/>
    <w:rsid w:val="004C4B85"/>
    <w:rsid w:val="004C4FED"/>
    <w:rsid w:val="004C5E03"/>
    <w:rsid w:val="004C73DC"/>
    <w:rsid w:val="004C7D88"/>
    <w:rsid w:val="004D03E1"/>
    <w:rsid w:val="004D2A4A"/>
    <w:rsid w:val="004D4DBF"/>
    <w:rsid w:val="004D5336"/>
    <w:rsid w:val="004D648C"/>
    <w:rsid w:val="004D78C0"/>
    <w:rsid w:val="004E02BF"/>
    <w:rsid w:val="004E2266"/>
    <w:rsid w:val="004E340C"/>
    <w:rsid w:val="004E3657"/>
    <w:rsid w:val="004E5000"/>
    <w:rsid w:val="004E5D7B"/>
    <w:rsid w:val="004F1632"/>
    <w:rsid w:val="004F2490"/>
    <w:rsid w:val="004F3F85"/>
    <w:rsid w:val="004F4366"/>
    <w:rsid w:val="004F55E1"/>
    <w:rsid w:val="004F5894"/>
    <w:rsid w:val="004F6E9B"/>
    <w:rsid w:val="00500B95"/>
    <w:rsid w:val="00500C24"/>
    <w:rsid w:val="0050134A"/>
    <w:rsid w:val="0050567B"/>
    <w:rsid w:val="005071C2"/>
    <w:rsid w:val="005111EE"/>
    <w:rsid w:val="005113CB"/>
    <w:rsid w:val="0051173D"/>
    <w:rsid w:val="0051281B"/>
    <w:rsid w:val="00512E4F"/>
    <w:rsid w:val="005158B7"/>
    <w:rsid w:val="00515D96"/>
    <w:rsid w:val="00517231"/>
    <w:rsid w:val="00520E08"/>
    <w:rsid w:val="00521AA4"/>
    <w:rsid w:val="005255A7"/>
    <w:rsid w:val="005268F8"/>
    <w:rsid w:val="00526C2F"/>
    <w:rsid w:val="00527D4F"/>
    <w:rsid w:val="005300CF"/>
    <w:rsid w:val="00530CAE"/>
    <w:rsid w:val="00532E31"/>
    <w:rsid w:val="00534450"/>
    <w:rsid w:val="005355ED"/>
    <w:rsid w:val="005400F1"/>
    <w:rsid w:val="005413AB"/>
    <w:rsid w:val="005420D3"/>
    <w:rsid w:val="005428BF"/>
    <w:rsid w:val="0054506A"/>
    <w:rsid w:val="00545E25"/>
    <w:rsid w:val="00546416"/>
    <w:rsid w:val="0055420F"/>
    <w:rsid w:val="0055438E"/>
    <w:rsid w:val="00554453"/>
    <w:rsid w:val="00556121"/>
    <w:rsid w:val="005567B7"/>
    <w:rsid w:val="00556DC7"/>
    <w:rsid w:val="005606CF"/>
    <w:rsid w:val="005616CC"/>
    <w:rsid w:val="0056195E"/>
    <w:rsid w:val="00562128"/>
    <w:rsid w:val="005631FD"/>
    <w:rsid w:val="0056435D"/>
    <w:rsid w:val="00564BCB"/>
    <w:rsid w:val="00566E5B"/>
    <w:rsid w:val="00567D44"/>
    <w:rsid w:val="00571AEE"/>
    <w:rsid w:val="00572ABB"/>
    <w:rsid w:val="00573F75"/>
    <w:rsid w:val="0057613D"/>
    <w:rsid w:val="00576EAE"/>
    <w:rsid w:val="00577720"/>
    <w:rsid w:val="00580B90"/>
    <w:rsid w:val="00583169"/>
    <w:rsid w:val="00583DFC"/>
    <w:rsid w:val="0058518D"/>
    <w:rsid w:val="005872EF"/>
    <w:rsid w:val="00587605"/>
    <w:rsid w:val="00591354"/>
    <w:rsid w:val="0059213E"/>
    <w:rsid w:val="00592C8E"/>
    <w:rsid w:val="00592FFE"/>
    <w:rsid w:val="00593414"/>
    <w:rsid w:val="00594A57"/>
    <w:rsid w:val="00594C61"/>
    <w:rsid w:val="005953B2"/>
    <w:rsid w:val="005A1004"/>
    <w:rsid w:val="005A1336"/>
    <w:rsid w:val="005A1FC2"/>
    <w:rsid w:val="005A2BCA"/>
    <w:rsid w:val="005A463B"/>
    <w:rsid w:val="005A5138"/>
    <w:rsid w:val="005A7DF0"/>
    <w:rsid w:val="005B0EE2"/>
    <w:rsid w:val="005B0FA6"/>
    <w:rsid w:val="005B2BD2"/>
    <w:rsid w:val="005B3836"/>
    <w:rsid w:val="005B5D68"/>
    <w:rsid w:val="005C19FF"/>
    <w:rsid w:val="005C298F"/>
    <w:rsid w:val="005C540D"/>
    <w:rsid w:val="005C5848"/>
    <w:rsid w:val="005C5D35"/>
    <w:rsid w:val="005C6366"/>
    <w:rsid w:val="005C65FB"/>
    <w:rsid w:val="005C6C3E"/>
    <w:rsid w:val="005D2124"/>
    <w:rsid w:val="005D5977"/>
    <w:rsid w:val="005D5DB8"/>
    <w:rsid w:val="005D64C7"/>
    <w:rsid w:val="005D68B7"/>
    <w:rsid w:val="005D7FE5"/>
    <w:rsid w:val="005E0360"/>
    <w:rsid w:val="005E03CA"/>
    <w:rsid w:val="005E1D6D"/>
    <w:rsid w:val="005E29A7"/>
    <w:rsid w:val="005E30B9"/>
    <w:rsid w:val="005E548C"/>
    <w:rsid w:val="005E6D79"/>
    <w:rsid w:val="005E73F9"/>
    <w:rsid w:val="005F06DD"/>
    <w:rsid w:val="005F1018"/>
    <w:rsid w:val="005F1519"/>
    <w:rsid w:val="005F3F0C"/>
    <w:rsid w:val="005F6316"/>
    <w:rsid w:val="005F7313"/>
    <w:rsid w:val="00600BE5"/>
    <w:rsid w:val="0060110F"/>
    <w:rsid w:val="0060207A"/>
    <w:rsid w:val="00606BED"/>
    <w:rsid w:val="006107CA"/>
    <w:rsid w:val="00610889"/>
    <w:rsid w:val="00610C93"/>
    <w:rsid w:val="00612D02"/>
    <w:rsid w:val="00614AE7"/>
    <w:rsid w:val="00615395"/>
    <w:rsid w:val="00615F2E"/>
    <w:rsid w:val="00617CFB"/>
    <w:rsid w:val="006216E5"/>
    <w:rsid w:val="0062172F"/>
    <w:rsid w:val="00621778"/>
    <w:rsid w:val="00623C52"/>
    <w:rsid w:val="00623E6D"/>
    <w:rsid w:val="00625184"/>
    <w:rsid w:val="006251D0"/>
    <w:rsid w:val="00625F62"/>
    <w:rsid w:val="00631FEE"/>
    <w:rsid w:val="00632247"/>
    <w:rsid w:val="00632326"/>
    <w:rsid w:val="00632F3D"/>
    <w:rsid w:val="0063392D"/>
    <w:rsid w:val="006339E7"/>
    <w:rsid w:val="006343EB"/>
    <w:rsid w:val="006354FC"/>
    <w:rsid w:val="00635CA5"/>
    <w:rsid w:val="00635F8F"/>
    <w:rsid w:val="00636B69"/>
    <w:rsid w:val="006400BB"/>
    <w:rsid w:val="006416DF"/>
    <w:rsid w:val="006419C8"/>
    <w:rsid w:val="00644FA7"/>
    <w:rsid w:val="0064510D"/>
    <w:rsid w:val="00647096"/>
    <w:rsid w:val="00647FFD"/>
    <w:rsid w:val="00651447"/>
    <w:rsid w:val="00652997"/>
    <w:rsid w:val="00652E98"/>
    <w:rsid w:val="006538DA"/>
    <w:rsid w:val="00655F69"/>
    <w:rsid w:val="00656338"/>
    <w:rsid w:val="0065745C"/>
    <w:rsid w:val="00660254"/>
    <w:rsid w:val="006617F5"/>
    <w:rsid w:val="00663A44"/>
    <w:rsid w:val="00665252"/>
    <w:rsid w:val="0066576C"/>
    <w:rsid w:val="00665B72"/>
    <w:rsid w:val="006674EB"/>
    <w:rsid w:val="00670167"/>
    <w:rsid w:val="0067075D"/>
    <w:rsid w:val="00671641"/>
    <w:rsid w:val="00671713"/>
    <w:rsid w:val="006722D8"/>
    <w:rsid w:val="0067266A"/>
    <w:rsid w:val="00672BFC"/>
    <w:rsid w:val="006760EA"/>
    <w:rsid w:val="006778E2"/>
    <w:rsid w:val="006800D4"/>
    <w:rsid w:val="0068017A"/>
    <w:rsid w:val="0068047C"/>
    <w:rsid w:val="00680FD1"/>
    <w:rsid w:val="00681395"/>
    <w:rsid w:val="00690589"/>
    <w:rsid w:val="0069223A"/>
    <w:rsid w:val="00694CB2"/>
    <w:rsid w:val="00694D38"/>
    <w:rsid w:val="006963C4"/>
    <w:rsid w:val="00697BA1"/>
    <w:rsid w:val="006A12A1"/>
    <w:rsid w:val="006A1BFB"/>
    <w:rsid w:val="006A287B"/>
    <w:rsid w:val="006A731C"/>
    <w:rsid w:val="006B4015"/>
    <w:rsid w:val="006B6FF4"/>
    <w:rsid w:val="006B7F4B"/>
    <w:rsid w:val="006C0C29"/>
    <w:rsid w:val="006C105D"/>
    <w:rsid w:val="006C2468"/>
    <w:rsid w:val="006C2846"/>
    <w:rsid w:val="006C286C"/>
    <w:rsid w:val="006C4A68"/>
    <w:rsid w:val="006C59FD"/>
    <w:rsid w:val="006C5CED"/>
    <w:rsid w:val="006C5D39"/>
    <w:rsid w:val="006D2DA7"/>
    <w:rsid w:val="006D5021"/>
    <w:rsid w:val="006D51E9"/>
    <w:rsid w:val="006D53A1"/>
    <w:rsid w:val="006D5AA3"/>
    <w:rsid w:val="006E11A0"/>
    <w:rsid w:val="006E15FF"/>
    <w:rsid w:val="006E398A"/>
    <w:rsid w:val="006E4718"/>
    <w:rsid w:val="006E4862"/>
    <w:rsid w:val="006E5602"/>
    <w:rsid w:val="006E58C3"/>
    <w:rsid w:val="006E680F"/>
    <w:rsid w:val="006F13AD"/>
    <w:rsid w:val="006F16A8"/>
    <w:rsid w:val="006F26A2"/>
    <w:rsid w:val="006F33DC"/>
    <w:rsid w:val="006F42E5"/>
    <w:rsid w:val="006F5957"/>
    <w:rsid w:val="006F7661"/>
    <w:rsid w:val="006F76A9"/>
    <w:rsid w:val="006F7793"/>
    <w:rsid w:val="006F793B"/>
    <w:rsid w:val="00703CDE"/>
    <w:rsid w:val="00703FAE"/>
    <w:rsid w:val="00707887"/>
    <w:rsid w:val="0071028E"/>
    <w:rsid w:val="007118EF"/>
    <w:rsid w:val="00712A35"/>
    <w:rsid w:val="00713672"/>
    <w:rsid w:val="00716F29"/>
    <w:rsid w:val="007219D6"/>
    <w:rsid w:val="00721F2A"/>
    <w:rsid w:val="007226CA"/>
    <w:rsid w:val="007245EB"/>
    <w:rsid w:val="007246C5"/>
    <w:rsid w:val="007258DE"/>
    <w:rsid w:val="007277DA"/>
    <w:rsid w:val="0073195A"/>
    <w:rsid w:val="00746444"/>
    <w:rsid w:val="007473B8"/>
    <w:rsid w:val="0074776E"/>
    <w:rsid w:val="007507F8"/>
    <w:rsid w:val="00753F9C"/>
    <w:rsid w:val="0075714C"/>
    <w:rsid w:val="00762ADD"/>
    <w:rsid w:val="00762C85"/>
    <w:rsid w:val="007638F0"/>
    <w:rsid w:val="0076605C"/>
    <w:rsid w:val="00766908"/>
    <w:rsid w:val="00766EBE"/>
    <w:rsid w:val="00770FCC"/>
    <w:rsid w:val="00772A96"/>
    <w:rsid w:val="00773F32"/>
    <w:rsid w:val="00780AA3"/>
    <w:rsid w:val="00781A85"/>
    <w:rsid w:val="00782279"/>
    <w:rsid w:val="00782350"/>
    <w:rsid w:val="00782D65"/>
    <w:rsid w:val="007830E4"/>
    <w:rsid w:val="007840CA"/>
    <w:rsid w:val="00784B95"/>
    <w:rsid w:val="007902F5"/>
    <w:rsid w:val="00791303"/>
    <w:rsid w:val="00792503"/>
    <w:rsid w:val="007942A3"/>
    <w:rsid w:val="00795FA8"/>
    <w:rsid w:val="007962EE"/>
    <w:rsid w:val="00796B8A"/>
    <w:rsid w:val="007A01F5"/>
    <w:rsid w:val="007A18B2"/>
    <w:rsid w:val="007A441B"/>
    <w:rsid w:val="007A45E3"/>
    <w:rsid w:val="007A5137"/>
    <w:rsid w:val="007B1333"/>
    <w:rsid w:val="007B3A7B"/>
    <w:rsid w:val="007B5535"/>
    <w:rsid w:val="007C2BBC"/>
    <w:rsid w:val="007C3550"/>
    <w:rsid w:val="007C4B13"/>
    <w:rsid w:val="007C5011"/>
    <w:rsid w:val="007C5498"/>
    <w:rsid w:val="007C58ED"/>
    <w:rsid w:val="007C7B3C"/>
    <w:rsid w:val="007D0670"/>
    <w:rsid w:val="007D21A6"/>
    <w:rsid w:val="007D2519"/>
    <w:rsid w:val="007D2C12"/>
    <w:rsid w:val="007D383C"/>
    <w:rsid w:val="007D4352"/>
    <w:rsid w:val="007D519C"/>
    <w:rsid w:val="007D540B"/>
    <w:rsid w:val="007D73F2"/>
    <w:rsid w:val="007E0659"/>
    <w:rsid w:val="007E0C20"/>
    <w:rsid w:val="007E2074"/>
    <w:rsid w:val="007E4150"/>
    <w:rsid w:val="007E4F48"/>
    <w:rsid w:val="007E55AC"/>
    <w:rsid w:val="007E5A68"/>
    <w:rsid w:val="007F2782"/>
    <w:rsid w:val="007F39F2"/>
    <w:rsid w:val="007F470A"/>
    <w:rsid w:val="007F4CE2"/>
    <w:rsid w:val="007F5D01"/>
    <w:rsid w:val="007F70DC"/>
    <w:rsid w:val="007F7DAA"/>
    <w:rsid w:val="008012B8"/>
    <w:rsid w:val="008013D4"/>
    <w:rsid w:val="00801C85"/>
    <w:rsid w:val="008021C2"/>
    <w:rsid w:val="008030DC"/>
    <w:rsid w:val="00804FAD"/>
    <w:rsid w:val="00805F40"/>
    <w:rsid w:val="00806254"/>
    <w:rsid w:val="00807F40"/>
    <w:rsid w:val="00810D01"/>
    <w:rsid w:val="00811318"/>
    <w:rsid w:val="008125CC"/>
    <w:rsid w:val="00814D41"/>
    <w:rsid w:val="00817586"/>
    <w:rsid w:val="00817B7F"/>
    <w:rsid w:val="008201F0"/>
    <w:rsid w:val="008218A6"/>
    <w:rsid w:val="00823437"/>
    <w:rsid w:val="0082636A"/>
    <w:rsid w:val="00826A0D"/>
    <w:rsid w:val="00830EB5"/>
    <w:rsid w:val="00832AE8"/>
    <w:rsid w:val="00833933"/>
    <w:rsid w:val="00834371"/>
    <w:rsid w:val="008349EC"/>
    <w:rsid w:val="008372C6"/>
    <w:rsid w:val="008378BF"/>
    <w:rsid w:val="00840C59"/>
    <w:rsid w:val="00842395"/>
    <w:rsid w:val="00844D68"/>
    <w:rsid w:val="00845ED3"/>
    <w:rsid w:val="00845F9F"/>
    <w:rsid w:val="008475CE"/>
    <w:rsid w:val="00847613"/>
    <w:rsid w:val="00851D35"/>
    <w:rsid w:val="00853F37"/>
    <w:rsid w:val="00855721"/>
    <w:rsid w:val="00856C9C"/>
    <w:rsid w:val="00860339"/>
    <w:rsid w:val="0086050D"/>
    <w:rsid w:val="00864C16"/>
    <w:rsid w:val="00864D4B"/>
    <w:rsid w:val="008650B2"/>
    <w:rsid w:val="00873C40"/>
    <w:rsid w:val="00873EF0"/>
    <w:rsid w:val="008741E8"/>
    <w:rsid w:val="008750AF"/>
    <w:rsid w:val="008752D7"/>
    <w:rsid w:val="00880C1E"/>
    <w:rsid w:val="00881076"/>
    <w:rsid w:val="00882B6D"/>
    <w:rsid w:val="0088399D"/>
    <w:rsid w:val="00884CBA"/>
    <w:rsid w:val="0088509F"/>
    <w:rsid w:val="0088518D"/>
    <w:rsid w:val="008851BC"/>
    <w:rsid w:val="00885414"/>
    <w:rsid w:val="0088551F"/>
    <w:rsid w:val="00885E28"/>
    <w:rsid w:val="008866DB"/>
    <w:rsid w:val="00886B50"/>
    <w:rsid w:val="00890372"/>
    <w:rsid w:val="0089042F"/>
    <w:rsid w:val="00891619"/>
    <w:rsid w:val="00892BE3"/>
    <w:rsid w:val="00892EAD"/>
    <w:rsid w:val="0089562D"/>
    <w:rsid w:val="00896A10"/>
    <w:rsid w:val="00897A59"/>
    <w:rsid w:val="00897B94"/>
    <w:rsid w:val="008A0CE9"/>
    <w:rsid w:val="008A13BA"/>
    <w:rsid w:val="008A2EF8"/>
    <w:rsid w:val="008A4486"/>
    <w:rsid w:val="008B1FCD"/>
    <w:rsid w:val="008B55C8"/>
    <w:rsid w:val="008B5A18"/>
    <w:rsid w:val="008B5B3B"/>
    <w:rsid w:val="008B5C1A"/>
    <w:rsid w:val="008B7CC7"/>
    <w:rsid w:val="008C471E"/>
    <w:rsid w:val="008C57F8"/>
    <w:rsid w:val="008C71F7"/>
    <w:rsid w:val="008C7544"/>
    <w:rsid w:val="008D107F"/>
    <w:rsid w:val="008D15A4"/>
    <w:rsid w:val="008D2D32"/>
    <w:rsid w:val="008D3097"/>
    <w:rsid w:val="008D3EAC"/>
    <w:rsid w:val="008D524C"/>
    <w:rsid w:val="008E23BC"/>
    <w:rsid w:val="008E379D"/>
    <w:rsid w:val="008E6323"/>
    <w:rsid w:val="008E69ED"/>
    <w:rsid w:val="008F3926"/>
    <w:rsid w:val="008F4A25"/>
    <w:rsid w:val="008F6E23"/>
    <w:rsid w:val="00901E30"/>
    <w:rsid w:val="00903875"/>
    <w:rsid w:val="009047E5"/>
    <w:rsid w:val="009058A5"/>
    <w:rsid w:val="00906101"/>
    <w:rsid w:val="009069FA"/>
    <w:rsid w:val="00910380"/>
    <w:rsid w:val="00917859"/>
    <w:rsid w:val="00920C14"/>
    <w:rsid w:val="00920E53"/>
    <w:rsid w:val="00921C0F"/>
    <w:rsid w:val="00923BE2"/>
    <w:rsid w:val="00925547"/>
    <w:rsid w:val="009267C6"/>
    <w:rsid w:val="0092761E"/>
    <w:rsid w:val="00930BDC"/>
    <w:rsid w:val="00931972"/>
    <w:rsid w:val="00937ECA"/>
    <w:rsid w:val="009400F7"/>
    <w:rsid w:val="00942AE4"/>
    <w:rsid w:val="009436CD"/>
    <w:rsid w:val="009451CC"/>
    <w:rsid w:val="009471D6"/>
    <w:rsid w:val="00950DDD"/>
    <w:rsid w:val="00951984"/>
    <w:rsid w:val="00951B66"/>
    <w:rsid w:val="009522F3"/>
    <w:rsid w:val="009537DE"/>
    <w:rsid w:val="00955307"/>
    <w:rsid w:val="009558CB"/>
    <w:rsid w:val="0095641C"/>
    <w:rsid w:val="00956A38"/>
    <w:rsid w:val="0095762F"/>
    <w:rsid w:val="00957A1E"/>
    <w:rsid w:val="0096064C"/>
    <w:rsid w:val="0096195E"/>
    <w:rsid w:val="00961B4A"/>
    <w:rsid w:val="00963022"/>
    <w:rsid w:val="00963BF4"/>
    <w:rsid w:val="009656AE"/>
    <w:rsid w:val="009711C3"/>
    <w:rsid w:val="00971F71"/>
    <w:rsid w:val="009727A6"/>
    <w:rsid w:val="0097321F"/>
    <w:rsid w:val="00975BFB"/>
    <w:rsid w:val="00975ECA"/>
    <w:rsid w:val="0097671B"/>
    <w:rsid w:val="00976E95"/>
    <w:rsid w:val="00980197"/>
    <w:rsid w:val="00981493"/>
    <w:rsid w:val="00982188"/>
    <w:rsid w:val="00984B21"/>
    <w:rsid w:val="00984E12"/>
    <w:rsid w:val="00985F28"/>
    <w:rsid w:val="009861ED"/>
    <w:rsid w:val="009874C1"/>
    <w:rsid w:val="0099014E"/>
    <w:rsid w:val="00990A17"/>
    <w:rsid w:val="00990F06"/>
    <w:rsid w:val="009920D3"/>
    <w:rsid w:val="00993BD0"/>
    <w:rsid w:val="00994418"/>
    <w:rsid w:val="00995446"/>
    <w:rsid w:val="009974C4"/>
    <w:rsid w:val="009A211D"/>
    <w:rsid w:val="009A3610"/>
    <w:rsid w:val="009A3B18"/>
    <w:rsid w:val="009A3D94"/>
    <w:rsid w:val="009A3EE1"/>
    <w:rsid w:val="009A615A"/>
    <w:rsid w:val="009B24DA"/>
    <w:rsid w:val="009B281A"/>
    <w:rsid w:val="009B29E9"/>
    <w:rsid w:val="009B5281"/>
    <w:rsid w:val="009B6526"/>
    <w:rsid w:val="009B675A"/>
    <w:rsid w:val="009B7710"/>
    <w:rsid w:val="009C0779"/>
    <w:rsid w:val="009C1196"/>
    <w:rsid w:val="009C11B4"/>
    <w:rsid w:val="009C228A"/>
    <w:rsid w:val="009C2A94"/>
    <w:rsid w:val="009C4C83"/>
    <w:rsid w:val="009C4CB5"/>
    <w:rsid w:val="009C508B"/>
    <w:rsid w:val="009C5B72"/>
    <w:rsid w:val="009C5D38"/>
    <w:rsid w:val="009C6070"/>
    <w:rsid w:val="009C643A"/>
    <w:rsid w:val="009D0B3E"/>
    <w:rsid w:val="009D15AD"/>
    <w:rsid w:val="009D177D"/>
    <w:rsid w:val="009D2273"/>
    <w:rsid w:val="009D3C3B"/>
    <w:rsid w:val="009D3D5D"/>
    <w:rsid w:val="009D40C1"/>
    <w:rsid w:val="009D61A6"/>
    <w:rsid w:val="009D7FEA"/>
    <w:rsid w:val="009E03ED"/>
    <w:rsid w:val="009E2F22"/>
    <w:rsid w:val="009E3147"/>
    <w:rsid w:val="009E3549"/>
    <w:rsid w:val="009E3E80"/>
    <w:rsid w:val="009E3FA9"/>
    <w:rsid w:val="009E552C"/>
    <w:rsid w:val="009E5652"/>
    <w:rsid w:val="009F2E20"/>
    <w:rsid w:val="009F32C6"/>
    <w:rsid w:val="009F3422"/>
    <w:rsid w:val="009F3748"/>
    <w:rsid w:val="009F37E0"/>
    <w:rsid w:val="009F3E95"/>
    <w:rsid w:val="009F4168"/>
    <w:rsid w:val="009F55B7"/>
    <w:rsid w:val="009F58DD"/>
    <w:rsid w:val="00A01592"/>
    <w:rsid w:val="00A01866"/>
    <w:rsid w:val="00A0279A"/>
    <w:rsid w:val="00A029D8"/>
    <w:rsid w:val="00A030D3"/>
    <w:rsid w:val="00A057B0"/>
    <w:rsid w:val="00A0655A"/>
    <w:rsid w:val="00A1191F"/>
    <w:rsid w:val="00A12B8A"/>
    <w:rsid w:val="00A14078"/>
    <w:rsid w:val="00A14A43"/>
    <w:rsid w:val="00A14D69"/>
    <w:rsid w:val="00A15DD9"/>
    <w:rsid w:val="00A1667B"/>
    <w:rsid w:val="00A17069"/>
    <w:rsid w:val="00A17084"/>
    <w:rsid w:val="00A1761E"/>
    <w:rsid w:val="00A17872"/>
    <w:rsid w:val="00A17A6D"/>
    <w:rsid w:val="00A20FD6"/>
    <w:rsid w:val="00A221CA"/>
    <w:rsid w:val="00A237E1"/>
    <w:rsid w:val="00A248FE"/>
    <w:rsid w:val="00A2690A"/>
    <w:rsid w:val="00A27254"/>
    <w:rsid w:val="00A31E2E"/>
    <w:rsid w:val="00A32DBC"/>
    <w:rsid w:val="00A33186"/>
    <w:rsid w:val="00A3322B"/>
    <w:rsid w:val="00A37148"/>
    <w:rsid w:val="00A374A2"/>
    <w:rsid w:val="00A375AC"/>
    <w:rsid w:val="00A4030F"/>
    <w:rsid w:val="00A416D7"/>
    <w:rsid w:val="00A41ADB"/>
    <w:rsid w:val="00A42296"/>
    <w:rsid w:val="00A4267C"/>
    <w:rsid w:val="00A435F1"/>
    <w:rsid w:val="00A44BF5"/>
    <w:rsid w:val="00A44BFF"/>
    <w:rsid w:val="00A4576D"/>
    <w:rsid w:val="00A46220"/>
    <w:rsid w:val="00A472CA"/>
    <w:rsid w:val="00A475BB"/>
    <w:rsid w:val="00A478C1"/>
    <w:rsid w:val="00A50513"/>
    <w:rsid w:val="00A50CE3"/>
    <w:rsid w:val="00A50E7A"/>
    <w:rsid w:val="00A51559"/>
    <w:rsid w:val="00A52960"/>
    <w:rsid w:val="00A53E25"/>
    <w:rsid w:val="00A54EBF"/>
    <w:rsid w:val="00A55932"/>
    <w:rsid w:val="00A55B4E"/>
    <w:rsid w:val="00A61852"/>
    <w:rsid w:val="00A62EA1"/>
    <w:rsid w:val="00A633C1"/>
    <w:rsid w:val="00A63553"/>
    <w:rsid w:val="00A644F7"/>
    <w:rsid w:val="00A65B6E"/>
    <w:rsid w:val="00A67E46"/>
    <w:rsid w:val="00A71664"/>
    <w:rsid w:val="00A73939"/>
    <w:rsid w:val="00A73EB4"/>
    <w:rsid w:val="00A754EB"/>
    <w:rsid w:val="00A7563D"/>
    <w:rsid w:val="00A76FA1"/>
    <w:rsid w:val="00A81875"/>
    <w:rsid w:val="00A83423"/>
    <w:rsid w:val="00A86E64"/>
    <w:rsid w:val="00A87411"/>
    <w:rsid w:val="00A87DDA"/>
    <w:rsid w:val="00A87E71"/>
    <w:rsid w:val="00A90BEA"/>
    <w:rsid w:val="00A91B14"/>
    <w:rsid w:val="00A93DB7"/>
    <w:rsid w:val="00A94C5E"/>
    <w:rsid w:val="00A95D9B"/>
    <w:rsid w:val="00A95E69"/>
    <w:rsid w:val="00A96022"/>
    <w:rsid w:val="00A962BD"/>
    <w:rsid w:val="00A9694E"/>
    <w:rsid w:val="00A96EAD"/>
    <w:rsid w:val="00AA1E4E"/>
    <w:rsid w:val="00AA5606"/>
    <w:rsid w:val="00AA5892"/>
    <w:rsid w:val="00AB0CCA"/>
    <w:rsid w:val="00AB3716"/>
    <w:rsid w:val="00AB3751"/>
    <w:rsid w:val="00AB441B"/>
    <w:rsid w:val="00AB50C4"/>
    <w:rsid w:val="00AB545A"/>
    <w:rsid w:val="00AB6F8D"/>
    <w:rsid w:val="00AC2974"/>
    <w:rsid w:val="00AC50AA"/>
    <w:rsid w:val="00AD0632"/>
    <w:rsid w:val="00AD31FA"/>
    <w:rsid w:val="00AD3BA0"/>
    <w:rsid w:val="00AD4FE3"/>
    <w:rsid w:val="00AD5B05"/>
    <w:rsid w:val="00AD6AED"/>
    <w:rsid w:val="00AE0535"/>
    <w:rsid w:val="00AE3E8A"/>
    <w:rsid w:val="00AE4A6A"/>
    <w:rsid w:val="00AE4BFD"/>
    <w:rsid w:val="00AE4EDC"/>
    <w:rsid w:val="00AE5005"/>
    <w:rsid w:val="00AE5BA5"/>
    <w:rsid w:val="00AF0E55"/>
    <w:rsid w:val="00AF116E"/>
    <w:rsid w:val="00AF20CA"/>
    <w:rsid w:val="00AF2A43"/>
    <w:rsid w:val="00AF456C"/>
    <w:rsid w:val="00AF4A49"/>
    <w:rsid w:val="00AF55F9"/>
    <w:rsid w:val="00AF6A43"/>
    <w:rsid w:val="00AF6CB2"/>
    <w:rsid w:val="00AF7AA5"/>
    <w:rsid w:val="00B0049C"/>
    <w:rsid w:val="00B020B5"/>
    <w:rsid w:val="00B035FC"/>
    <w:rsid w:val="00B052B9"/>
    <w:rsid w:val="00B0570A"/>
    <w:rsid w:val="00B072F5"/>
    <w:rsid w:val="00B12F3C"/>
    <w:rsid w:val="00B1391C"/>
    <w:rsid w:val="00B1428B"/>
    <w:rsid w:val="00B143E6"/>
    <w:rsid w:val="00B2047D"/>
    <w:rsid w:val="00B20A39"/>
    <w:rsid w:val="00B213FA"/>
    <w:rsid w:val="00B21ABD"/>
    <w:rsid w:val="00B23889"/>
    <w:rsid w:val="00B23961"/>
    <w:rsid w:val="00B240A6"/>
    <w:rsid w:val="00B24A64"/>
    <w:rsid w:val="00B24C80"/>
    <w:rsid w:val="00B24DC6"/>
    <w:rsid w:val="00B25416"/>
    <w:rsid w:val="00B25FB1"/>
    <w:rsid w:val="00B262BF"/>
    <w:rsid w:val="00B26AE3"/>
    <w:rsid w:val="00B30127"/>
    <w:rsid w:val="00B30B69"/>
    <w:rsid w:val="00B31012"/>
    <w:rsid w:val="00B31B28"/>
    <w:rsid w:val="00B33CD9"/>
    <w:rsid w:val="00B363D1"/>
    <w:rsid w:val="00B37104"/>
    <w:rsid w:val="00B3725C"/>
    <w:rsid w:val="00B37F9A"/>
    <w:rsid w:val="00B41A14"/>
    <w:rsid w:val="00B42DB4"/>
    <w:rsid w:val="00B4338E"/>
    <w:rsid w:val="00B45F76"/>
    <w:rsid w:val="00B46251"/>
    <w:rsid w:val="00B47347"/>
    <w:rsid w:val="00B478C2"/>
    <w:rsid w:val="00B47FFC"/>
    <w:rsid w:val="00B51E17"/>
    <w:rsid w:val="00B52FA1"/>
    <w:rsid w:val="00B532DB"/>
    <w:rsid w:val="00B545C7"/>
    <w:rsid w:val="00B5553B"/>
    <w:rsid w:val="00B55F68"/>
    <w:rsid w:val="00B56AFE"/>
    <w:rsid w:val="00B61396"/>
    <w:rsid w:val="00B6254A"/>
    <w:rsid w:val="00B62C34"/>
    <w:rsid w:val="00B638D3"/>
    <w:rsid w:val="00B65EF1"/>
    <w:rsid w:val="00B67A66"/>
    <w:rsid w:val="00B70B9B"/>
    <w:rsid w:val="00B70BE0"/>
    <w:rsid w:val="00B7479F"/>
    <w:rsid w:val="00B74DD4"/>
    <w:rsid w:val="00B77F87"/>
    <w:rsid w:val="00B8032F"/>
    <w:rsid w:val="00B8293E"/>
    <w:rsid w:val="00B83C18"/>
    <w:rsid w:val="00B85EE1"/>
    <w:rsid w:val="00B90763"/>
    <w:rsid w:val="00B9151E"/>
    <w:rsid w:val="00B9168D"/>
    <w:rsid w:val="00B92795"/>
    <w:rsid w:val="00B928F3"/>
    <w:rsid w:val="00B92CAE"/>
    <w:rsid w:val="00B9422F"/>
    <w:rsid w:val="00B94375"/>
    <w:rsid w:val="00B946CF"/>
    <w:rsid w:val="00B95797"/>
    <w:rsid w:val="00B95C3B"/>
    <w:rsid w:val="00B95EA3"/>
    <w:rsid w:val="00BA1523"/>
    <w:rsid w:val="00BA45AB"/>
    <w:rsid w:val="00BA51A4"/>
    <w:rsid w:val="00BA55F9"/>
    <w:rsid w:val="00BA718E"/>
    <w:rsid w:val="00BA7B17"/>
    <w:rsid w:val="00BA7B62"/>
    <w:rsid w:val="00BB273E"/>
    <w:rsid w:val="00BB6CE4"/>
    <w:rsid w:val="00BB7636"/>
    <w:rsid w:val="00BB7DE2"/>
    <w:rsid w:val="00BC03A8"/>
    <w:rsid w:val="00BC0FC5"/>
    <w:rsid w:val="00BC35A1"/>
    <w:rsid w:val="00BC5751"/>
    <w:rsid w:val="00BC5B1A"/>
    <w:rsid w:val="00BC6738"/>
    <w:rsid w:val="00BC75AB"/>
    <w:rsid w:val="00BC7E11"/>
    <w:rsid w:val="00BD068E"/>
    <w:rsid w:val="00BD1164"/>
    <w:rsid w:val="00BD2E55"/>
    <w:rsid w:val="00BD3D08"/>
    <w:rsid w:val="00BD5DE5"/>
    <w:rsid w:val="00BE48F3"/>
    <w:rsid w:val="00BE569B"/>
    <w:rsid w:val="00BE6EF0"/>
    <w:rsid w:val="00BE730F"/>
    <w:rsid w:val="00BF04AC"/>
    <w:rsid w:val="00BF18F4"/>
    <w:rsid w:val="00BF25BB"/>
    <w:rsid w:val="00BF2DB9"/>
    <w:rsid w:val="00BF3E94"/>
    <w:rsid w:val="00BF500C"/>
    <w:rsid w:val="00BF63C2"/>
    <w:rsid w:val="00BF69D1"/>
    <w:rsid w:val="00BF7A1B"/>
    <w:rsid w:val="00C00453"/>
    <w:rsid w:val="00C0129A"/>
    <w:rsid w:val="00C01836"/>
    <w:rsid w:val="00C02564"/>
    <w:rsid w:val="00C025B7"/>
    <w:rsid w:val="00C047D7"/>
    <w:rsid w:val="00C0487B"/>
    <w:rsid w:val="00C05BE6"/>
    <w:rsid w:val="00C06030"/>
    <w:rsid w:val="00C06185"/>
    <w:rsid w:val="00C0669F"/>
    <w:rsid w:val="00C10449"/>
    <w:rsid w:val="00C10F8A"/>
    <w:rsid w:val="00C13AD4"/>
    <w:rsid w:val="00C13DC7"/>
    <w:rsid w:val="00C16516"/>
    <w:rsid w:val="00C22CFE"/>
    <w:rsid w:val="00C24CC0"/>
    <w:rsid w:val="00C25152"/>
    <w:rsid w:val="00C27CB5"/>
    <w:rsid w:val="00C32B0C"/>
    <w:rsid w:val="00C32ECE"/>
    <w:rsid w:val="00C33296"/>
    <w:rsid w:val="00C33478"/>
    <w:rsid w:val="00C35013"/>
    <w:rsid w:val="00C356E5"/>
    <w:rsid w:val="00C4016F"/>
    <w:rsid w:val="00C402DD"/>
    <w:rsid w:val="00C44A70"/>
    <w:rsid w:val="00C45D12"/>
    <w:rsid w:val="00C4679E"/>
    <w:rsid w:val="00C46F5E"/>
    <w:rsid w:val="00C4740A"/>
    <w:rsid w:val="00C47953"/>
    <w:rsid w:val="00C504B7"/>
    <w:rsid w:val="00C510C9"/>
    <w:rsid w:val="00C5154F"/>
    <w:rsid w:val="00C52A82"/>
    <w:rsid w:val="00C542B8"/>
    <w:rsid w:val="00C55A69"/>
    <w:rsid w:val="00C56C13"/>
    <w:rsid w:val="00C65BB3"/>
    <w:rsid w:val="00C65FC8"/>
    <w:rsid w:val="00C67337"/>
    <w:rsid w:val="00C704F3"/>
    <w:rsid w:val="00C70702"/>
    <w:rsid w:val="00C71262"/>
    <w:rsid w:val="00C71CD8"/>
    <w:rsid w:val="00C72BFB"/>
    <w:rsid w:val="00C733F0"/>
    <w:rsid w:val="00C73FD0"/>
    <w:rsid w:val="00C7419F"/>
    <w:rsid w:val="00C7641D"/>
    <w:rsid w:val="00C777DA"/>
    <w:rsid w:val="00C77AAE"/>
    <w:rsid w:val="00C77BBC"/>
    <w:rsid w:val="00C77CF4"/>
    <w:rsid w:val="00C80142"/>
    <w:rsid w:val="00C801A5"/>
    <w:rsid w:val="00C80746"/>
    <w:rsid w:val="00C80F0A"/>
    <w:rsid w:val="00C81B55"/>
    <w:rsid w:val="00C82CA3"/>
    <w:rsid w:val="00C86A11"/>
    <w:rsid w:val="00C878E4"/>
    <w:rsid w:val="00C91F25"/>
    <w:rsid w:val="00C9251E"/>
    <w:rsid w:val="00C93058"/>
    <w:rsid w:val="00C96835"/>
    <w:rsid w:val="00C979CE"/>
    <w:rsid w:val="00CA168E"/>
    <w:rsid w:val="00CA2EFA"/>
    <w:rsid w:val="00CA4854"/>
    <w:rsid w:val="00CA6564"/>
    <w:rsid w:val="00CA6CBA"/>
    <w:rsid w:val="00CB2C76"/>
    <w:rsid w:val="00CB3B5E"/>
    <w:rsid w:val="00CB3D80"/>
    <w:rsid w:val="00CB4A48"/>
    <w:rsid w:val="00CB5B00"/>
    <w:rsid w:val="00CB6478"/>
    <w:rsid w:val="00CB6A6A"/>
    <w:rsid w:val="00CB73B8"/>
    <w:rsid w:val="00CB74BF"/>
    <w:rsid w:val="00CB7E63"/>
    <w:rsid w:val="00CC0CE4"/>
    <w:rsid w:val="00CC107C"/>
    <w:rsid w:val="00CC341D"/>
    <w:rsid w:val="00CC3627"/>
    <w:rsid w:val="00CC3C28"/>
    <w:rsid w:val="00CC520B"/>
    <w:rsid w:val="00CC5D84"/>
    <w:rsid w:val="00CC5F71"/>
    <w:rsid w:val="00CC5F7A"/>
    <w:rsid w:val="00CC640A"/>
    <w:rsid w:val="00CD0C33"/>
    <w:rsid w:val="00CD1DD3"/>
    <w:rsid w:val="00CD21CB"/>
    <w:rsid w:val="00CD23C6"/>
    <w:rsid w:val="00CD26CC"/>
    <w:rsid w:val="00CD3BAD"/>
    <w:rsid w:val="00CD496B"/>
    <w:rsid w:val="00CD57A0"/>
    <w:rsid w:val="00CD61D2"/>
    <w:rsid w:val="00CD6C21"/>
    <w:rsid w:val="00CD7049"/>
    <w:rsid w:val="00CD7B9E"/>
    <w:rsid w:val="00CE0700"/>
    <w:rsid w:val="00CE1A65"/>
    <w:rsid w:val="00CE2A27"/>
    <w:rsid w:val="00CE2C41"/>
    <w:rsid w:val="00CE38E4"/>
    <w:rsid w:val="00CE653C"/>
    <w:rsid w:val="00CE776D"/>
    <w:rsid w:val="00CF0EBC"/>
    <w:rsid w:val="00CF26EE"/>
    <w:rsid w:val="00CF319A"/>
    <w:rsid w:val="00CF3F70"/>
    <w:rsid w:val="00CF4C8B"/>
    <w:rsid w:val="00CF4E68"/>
    <w:rsid w:val="00CF61DB"/>
    <w:rsid w:val="00D0239F"/>
    <w:rsid w:val="00D039BD"/>
    <w:rsid w:val="00D039E7"/>
    <w:rsid w:val="00D05534"/>
    <w:rsid w:val="00D0625B"/>
    <w:rsid w:val="00D07345"/>
    <w:rsid w:val="00D0792C"/>
    <w:rsid w:val="00D1199A"/>
    <w:rsid w:val="00D1265E"/>
    <w:rsid w:val="00D14529"/>
    <w:rsid w:val="00D15442"/>
    <w:rsid w:val="00D16E36"/>
    <w:rsid w:val="00D16EFA"/>
    <w:rsid w:val="00D1799B"/>
    <w:rsid w:val="00D17EBD"/>
    <w:rsid w:val="00D207E8"/>
    <w:rsid w:val="00D22D49"/>
    <w:rsid w:val="00D25DD9"/>
    <w:rsid w:val="00D2607C"/>
    <w:rsid w:val="00D26CA6"/>
    <w:rsid w:val="00D30141"/>
    <w:rsid w:val="00D32C4D"/>
    <w:rsid w:val="00D34007"/>
    <w:rsid w:val="00D346B2"/>
    <w:rsid w:val="00D35829"/>
    <w:rsid w:val="00D3588A"/>
    <w:rsid w:val="00D35DA4"/>
    <w:rsid w:val="00D36BF0"/>
    <w:rsid w:val="00D36CE8"/>
    <w:rsid w:val="00D37290"/>
    <w:rsid w:val="00D406F4"/>
    <w:rsid w:val="00D43340"/>
    <w:rsid w:val="00D4376F"/>
    <w:rsid w:val="00D43B89"/>
    <w:rsid w:val="00D44630"/>
    <w:rsid w:val="00D448C1"/>
    <w:rsid w:val="00D45D71"/>
    <w:rsid w:val="00D46538"/>
    <w:rsid w:val="00D470C9"/>
    <w:rsid w:val="00D533FE"/>
    <w:rsid w:val="00D567E5"/>
    <w:rsid w:val="00D60A84"/>
    <w:rsid w:val="00D61EAC"/>
    <w:rsid w:val="00D62C8C"/>
    <w:rsid w:val="00D631C9"/>
    <w:rsid w:val="00D63AF4"/>
    <w:rsid w:val="00D67534"/>
    <w:rsid w:val="00D6779E"/>
    <w:rsid w:val="00D70723"/>
    <w:rsid w:val="00D7345B"/>
    <w:rsid w:val="00D745D8"/>
    <w:rsid w:val="00D74A61"/>
    <w:rsid w:val="00D7610E"/>
    <w:rsid w:val="00D778ED"/>
    <w:rsid w:val="00D80DB3"/>
    <w:rsid w:val="00D81554"/>
    <w:rsid w:val="00D81FC5"/>
    <w:rsid w:val="00D82D53"/>
    <w:rsid w:val="00D8526A"/>
    <w:rsid w:val="00D85AC8"/>
    <w:rsid w:val="00D87A53"/>
    <w:rsid w:val="00D9006E"/>
    <w:rsid w:val="00D9055F"/>
    <w:rsid w:val="00D934CF"/>
    <w:rsid w:val="00D944B8"/>
    <w:rsid w:val="00D94FF2"/>
    <w:rsid w:val="00DA001A"/>
    <w:rsid w:val="00DA03A7"/>
    <w:rsid w:val="00DA0F25"/>
    <w:rsid w:val="00DA113E"/>
    <w:rsid w:val="00DA15EE"/>
    <w:rsid w:val="00DA503C"/>
    <w:rsid w:val="00DB0F69"/>
    <w:rsid w:val="00DB2528"/>
    <w:rsid w:val="00DB40B3"/>
    <w:rsid w:val="00DB468D"/>
    <w:rsid w:val="00DB5E84"/>
    <w:rsid w:val="00DC0A6F"/>
    <w:rsid w:val="00DC0C0B"/>
    <w:rsid w:val="00DC13A4"/>
    <w:rsid w:val="00DC158F"/>
    <w:rsid w:val="00DC3B89"/>
    <w:rsid w:val="00DC599E"/>
    <w:rsid w:val="00DC5BBA"/>
    <w:rsid w:val="00DC6ABA"/>
    <w:rsid w:val="00DD05C7"/>
    <w:rsid w:val="00DD7CA4"/>
    <w:rsid w:val="00DE3921"/>
    <w:rsid w:val="00DE3D0B"/>
    <w:rsid w:val="00DE3E41"/>
    <w:rsid w:val="00DE3F88"/>
    <w:rsid w:val="00DE4D49"/>
    <w:rsid w:val="00DE4F0C"/>
    <w:rsid w:val="00DE510F"/>
    <w:rsid w:val="00DE546A"/>
    <w:rsid w:val="00DE6AFF"/>
    <w:rsid w:val="00DE7262"/>
    <w:rsid w:val="00DE750D"/>
    <w:rsid w:val="00DF4057"/>
    <w:rsid w:val="00DF4410"/>
    <w:rsid w:val="00DF587D"/>
    <w:rsid w:val="00E0069F"/>
    <w:rsid w:val="00E01ABB"/>
    <w:rsid w:val="00E028DC"/>
    <w:rsid w:val="00E04012"/>
    <w:rsid w:val="00E04608"/>
    <w:rsid w:val="00E05165"/>
    <w:rsid w:val="00E0568C"/>
    <w:rsid w:val="00E05B87"/>
    <w:rsid w:val="00E05D0C"/>
    <w:rsid w:val="00E06A0E"/>
    <w:rsid w:val="00E06EF4"/>
    <w:rsid w:val="00E07E94"/>
    <w:rsid w:val="00E114C1"/>
    <w:rsid w:val="00E141B4"/>
    <w:rsid w:val="00E15298"/>
    <w:rsid w:val="00E15424"/>
    <w:rsid w:val="00E16A08"/>
    <w:rsid w:val="00E175EF"/>
    <w:rsid w:val="00E21F27"/>
    <w:rsid w:val="00E22C45"/>
    <w:rsid w:val="00E2311E"/>
    <w:rsid w:val="00E236CA"/>
    <w:rsid w:val="00E23AFC"/>
    <w:rsid w:val="00E259DF"/>
    <w:rsid w:val="00E25E67"/>
    <w:rsid w:val="00E2616D"/>
    <w:rsid w:val="00E262CE"/>
    <w:rsid w:val="00E2634A"/>
    <w:rsid w:val="00E264A3"/>
    <w:rsid w:val="00E30F18"/>
    <w:rsid w:val="00E318CD"/>
    <w:rsid w:val="00E31D6F"/>
    <w:rsid w:val="00E31D92"/>
    <w:rsid w:val="00E35C37"/>
    <w:rsid w:val="00E37554"/>
    <w:rsid w:val="00E37683"/>
    <w:rsid w:val="00E4062D"/>
    <w:rsid w:val="00E41D03"/>
    <w:rsid w:val="00E42630"/>
    <w:rsid w:val="00E42AE0"/>
    <w:rsid w:val="00E4732C"/>
    <w:rsid w:val="00E51005"/>
    <w:rsid w:val="00E5104C"/>
    <w:rsid w:val="00E51650"/>
    <w:rsid w:val="00E530B8"/>
    <w:rsid w:val="00E5338D"/>
    <w:rsid w:val="00E53428"/>
    <w:rsid w:val="00E55C06"/>
    <w:rsid w:val="00E56087"/>
    <w:rsid w:val="00E5728E"/>
    <w:rsid w:val="00E64034"/>
    <w:rsid w:val="00E64BD4"/>
    <w:rsid w:val="00E669A2"/>
    <w:rsid w:val="00E67E80"/>
    <w:rsid w:val="00E72CA7"/>
    <w:rsid w:val="00E74050"/>
    <w:rsid w:val="00E74260"/>
    <w:rsid w:val="00E759B2"/>
    <w:rsid w:val="00E75EF9"/>
    <w:rsid w:val="00E769F8"/>
    <w:rsid w:val="00E7751A"/>
    <w:rsid w:val="00E775CB"/>
    <w:rsid w:val="00E77A54"/>
    <w:rsid w:val="00E77F26"/>
    <w:rsid w:val="00E81ECD"/>
    <w:rsid w:val="00E828C0"/>
    <w:rsid w:val="00E84F43"/>
    <w:rsid w:val="00E9062C"/>
    <w:rsid w:val="00E90808"/>
    <w:rsid w:val="00E91653"/>
    <w:rsid w:val="00E91E30"/>
    <w:rsid w:val="00E9596A"/>
    <w:rsid w:val="00EA1893"/>
    <w:rsid w:val="00EA2380"/>
    <w:rsid w:val="00EA2EB4"/>
    <w:rsid w:val="00EA3BF9"/>
    <w:rsid w:val="00EA44F3"/>
    <w:rsid w:val="00EA593C"/>
    <w:rsid w:val="00EA5A9C"/>
    <w:rsid w:val="00EA700A"/>
    <w:rsid w:val="00EA7AE5"/>
    <w:rsid w:val="00EB18C9"/>
    <w:rsid w:val="00EB1938"/>
    <w:rsid w:val="00EB1F6B"/>
    <w:rsid w:val="00EB204C"/>
    <w:rsid w:val="00EB2F24"/>
    <w:rsid w:val="00EB4FE0"/>
    <w:rsid w:val="00EB7FE5"/>
    <w:rsid w:val="00EC015F"/>
    <w:rsid w:val="00EC056B"/>
    <w:rsid w:val="00EC3633"/>
    <w:rsid w:val="00EC3E1E"/>
    <w:rsid w:val="00EC595D"/>
    <w:rsid w:val="00EC6B9D"/>
    <w:rsid w:val="00EC73A5"/>
    <w:rsid w:val="00ED1719"/>
    <w:rsid w:val="00ED26B6"/>
    <w:rsid w:val="00ED2BEA"/>
    <w:rsid w:val="00ED3B99"/>
    <w:rsid w:val="00ED3D84"/>
    <w:rsid w:val="00ED4FBF"/>
    <w:rsid w:val="00ED503C"/>
    <w:rsid w:val="00ED5710"/>
    <w:rsid w:val="00EE568A"/>
    <w:rsid w:val="00EF1670"/>
    <w:rsid w:val="00EF1D85"/>
    <w:rsid w:val="00EF29B0"/>
    <w:rsid w:val="00EF34F2"/>
    <w:rsid w:val="00EF35DC"/>
    <w:rsid w:val="00EF398B"/>
    <w:rsid w:val="00EF3D5E"/>
    <w:rsid w:val="00EF4C5C"/>
    <w:rsid w:val="00EF6245"/>
    <w:rsid w:val="00EF6B42"/>
    <w:rsid w:val="00F02642"/>
    <w:rsid w:val="00F038D0"/>
    <w:rsid w:val="00F04C84"/>
    <w:rsid w:val="00F05B6F"/>
    <w:rsid w:val="00F0718B"/>
    <w:rsid w:val="00F102C5"/>
    <w:rsid w:val="00F105C9"/>
    <w:rsid w:val="00F1207D"/>
    <w:rsid w:val="00F12D30"/>
    <w:rsid w:val="00F13626"/>
    <w:rsid w:val="00F16EFC"/>
    <w:rsid w:val="00F16F66"/>
    <w:rsid w:val="00F17CCF"/>
    <w:rsid w:val="00F218CE"/>
    <w:rsid w:val="00F22E97"/>
    <w:rsid w:val="00F25090"/>
    <w:rsid w:val="00F259B7"/>
    <w:rsid w:val="00F26A69"/>
    <w:rsid w:val="00F272D0"/>
    <w:rsid w:val="00F273C1"/>
    <w:rsid w:val="00F30129"/>
    <w:rsid w:val="00F3042F"/>
    <w:rsid w:val="00F30F4C"/>
    <w:rsid w:val="00F31BC4"/>
    <w:rsid w:val="00F3402A"/>
    <w:rsid w:val="00F35EF0"/>
    <w:rsid w:val="00F3619A"/>
    <w:rsid w:val="00F36CA7"/>
    <w:rsid w:val="00F4040F"/>
    <w:rsid w:val="00F404B4"/>
    <w:rsid w:val="00F40660"/>
    <w:rsid w:val="00F409AA"/>
    <w:rsid w:val="00F41A3D"/>
    <w:rsid w:val="00F4248D"/>
    <w:rsid w:val="00F4271B"/>
    <w:rsid w:val="00F42C40"/>
    <w:rsid w:val="00F43185"/>
    <w:rsid w:val="00F45835"/>
    <w:rsid w:val="00F462A2"/>
    <w:rsid w:val="00F510E6"/>
    <w:rsid w:val="00F515D8"/>
    <w:rsid w:val="00F5346F"/>
    <w:rsid w:val="00F53F12"/>
    <w:rsid w:val="00F54640"/>
    <w:rsid w:val="00F55277"/>
    <w:rsid w:val="00F5579C"/>
    <w:rsid w:val="00F56287"/>
    <w:rsid w:val="00F62754"/>
    <w:rsid w:val="00F62FC4"/>
    <w:rsid w:val="00F632D0"/>
    <w:rsid w:val="00F63B00"/>
    <w:rsid w:val="00F646B4"/>
    <w:rsid w:val="00F65269"/>
    <w:rsid w:val="00F652AD"/>
    <w:rsid w:val="00F65F16"/>
    <w:rsid w:val="00F66007"/>
    <w:rsid w:val="00F679AF"/>
    <w:rsid w:val="00F73C01"/>
    <w:rsid w:val="00F7608B"/>
    <w:rsid w:val="00F77AE8"/>
    <w:rsid w:val="00F8145F"/>
    <w:rsid w:val="00F81B85"/>
    <w:rsid w:val="00F838FC"/>
    <w:rsid w:val="00F84E48"/>
    <w:rsid w:val="00F86868"/>
    <w:rsid w:val="00F9056F"/>
    <w:rsid w:val="00F92CA4"/>
    <w:rsid w:val="00F933E4"/>
    <w:rsid w:val="00F93B6A"/>
    <w:rsid w:val="00F93BA3"/>
    <w:rsid w:val="00F94541"/>
    <w:rsid w:val="00F97204"/>
    <w:rsid w:val="00FA0D40"/>
    <w:rsid w:val="00FA1DE1"/>
    <w:rsid w:val="00FA2925"/>
    <w:rsid w:val="00FA2A04"/>
    <w:rsid w:val="00FA2F05"/>
    <w:rsid w:val="00FA5780"/>
    <w:rsid w:val="00FA5FC3"/>
    <w:rsid w:val="00FA60C0"/>
    <w:rsid w:val="00FA7295"/>
    <w:rsid w:val="00FA7F79"/>
    <w:rsid w:val="00FB1CD2"/>
    <w:rsid w:val="00FB1F53"/>
    <w:rsid w:val="00FB2536"/>
    <w:rsid w:val="00FB3DF5"/>
    <w:rsid w:val="00FB49A5"/>
    <w:rsid w:val="00FB49F5"/>
    <w:rsid w:val="00FB7F21"/>
    <w:rsid w:val="00FC040C"/>
    <w:rsid w:val="00FC14DB"/>
    <w:rsid w:val="00FC2E18"/>
    <w:rsid w:val="00FC2EC5"/>
    <w:rsid w:val="00FC2FA7"/>
    <w:rsid w:val="00FC53B5"/>
    <w:rsid w:val="00FC55B7"/>
    <w:rsid w:val="00FC5D1D"/>
    <w:rsid w:val="00FD30E9"/>
    <w:rsid w:val="00FD3960"/>
    <w:rsid w:val="00FD3AB3"/>
    <w:rsid w:val="00FD3F07"/>
    <w:rsid w:val="00FD4CB2"/>
    <w:rsid w:val="00FD4F5F"/>
    <w:rsid w:val="00FD60A5"/>
    <w:rsid w:val="00FD7B2B"/>
    <w:rsid w:val="00FE1820"/>
    <w:rsid w:val="00FE3899"/>
    <w:rsid w:val="00FE390B"/>
    <w:rsid w:val="00FE4E15"/>
    <w:rsid w:val="00FE5505"/>
    <w:rsid w:val="00FE6618"/>
    <w:rsid w:val="00FE6A7E"/>
    <w:rsid w:val="00FE7340"/>
    <w:rsid w:val="00FE75A9"/>
    <w:rsid w:val="00FF1B40"/>
    <w:rsid w:val="00FF482A"/>
    <w:rsid w:val="00FF4B5B"/>
    <w:rsid w:val="00FF4F68"/>
    <w:rsid w:val="00FF4F94"/>
    <w:rsid w:val="00FF5E23"/>
    <w:rsid w:val="00FF694B"/>
    <w:rsid w:val="00FF6ECE"/>
    <w:rsid w:val="00FF704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6D41FC"/>
  <w15:docId w15:val="{4A2A836A-F87A-4FBF-AB4D-D17EEC26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lang w:val="fi-FI" w:eastAsia="en-US" w:bidi="ar-SA"/>
      </w:rPr>
    </w:rPrDefault>
    <w:pPrDefault>
      <w:pPr>
        <w:spacing w:after="120" w:line="180" w:lineRule="auto"/>
      </w:pPr>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3C0679"/>
    <w:pPr>
      <w:spacing w:line="280" w:lineRule="atLeast"/>
    </w:pPr>
    <w:rPr>
      <w:lang w:val="sv-SE"/>
    </w:rPr>
  </w:style>
  <w:style w:type="paragraph" w:styleId="Rubrik1">
    <w:name w:val="heading 1"/>
    <w:basedOn w:val="Normal"/>
    <w:next w:val="Normal"/>
    <w:link w:val="Rubrik1Char"/>
    <w:uiPriority w:val="2"/>
    <w:qFormat/>
    <w:rsid w:val="00F65F16"/>
    <w:pPr>
      <w:keepNext/>
      <w:spacing w:before="360" w:after="180" w:line="432" w:lineRule="exact"/>
      <w:outlineLvl w:val="0"/>
    </w:pPr>
    <w:rPr>
      <w:rFonts w:eastAsiaTheme="majorEastAsia"/>
      <w:b/>
      <w:bCs/>
      <w:sz w:val="36"/>
      <w:szCs w:val="28"/>
    </w:rPr>
  </w:style>
  <w:style w:type="paragraph" w:styleId="Rubrik2">
    <w:name w:val="heading 2"/>
    <w:basedOn w:val="Normal"/>
    <w:next w:val="Normal"/>
    <w:link w:val="Rubrik2Char"/>
    <w:uiPriority w:val="2"/>
    <w:qFormat/>
    <w:rsid w:val="003C0679"/>
    <w:pPr>
      <w:keepNext/>
      <w:spacing w:before="360" w:after="0" w:line="336" w:lineRule="exact"/>
      <w:outlineLvl w:val="1"/>
    </w:pPr>
    <w:rPr>
      <w:rFonts w:eastAsiaTheme="majorEastAsia"/>
      <w:b/>
      <w:bCs/>
      <w:sz w:val="28"/>
      <w:szCs w:val="26"/>
    </w:rPr>
  </w:style>
  <w:style w:type="paragraph" w:styleId="Rubrik3">
    <w:name w:val="heading 3"/>
    <w:basedOn w:val="Normal"/>
    <w:next w:val="Normal"/>
    <w:link w:val="Rubrik3Char"/>
    <w:uiPriority w:val="2"/>
    <w:qFormat/>
    <w:rsid w:val="004F2490"/>
    <w:pPr>
      <w:keepNext/>
      <w:spacing w:before="240" w:after="0" w:line="300" w:lineRule="exact"/>
      <w:outlineLvl w:val="2"/>
    </w:pPr>
    <w:rPr>
      <w:rFonts w:eastAsiaTheme="majorEastAsia"/>
      <w:b/>
      <w:bCs/>
      <w:sz w:val="24"/>
      <w:szCs w:val="32"/>
    </w:rPr>
  </w:style>
  <w:style w:type="paragraph" w:styleId="Rubrik4">
    <w:name w:val="heading 4"/>
    <w:basedOn w:val="Normal"/>
    <w:next w:val="Normal"/>
    <w:link w:val="Rubrik4Char"/>
    <w:uiPriority w:val="2"/>
    <w:qFormat/>
    <w:rsid w:val="004F2490"/>
    <w:pPr>
      <w:keepNext/>
      <w:spacing w:before="200" w:after="0" w:line="280" w:lineRule="exact"/>
      <w:outlineLvl w:val="3"/>
    </w:pPr>
    <w:rPr>
      <w:bCs/>
      <w:i/>
      <w:iCs/>
    </w:rPr>
  </w:style>
  <w:style w:type="paragraph" w:styleId="Rubrik5">
    <w:name w:val="heading 5"/>
    <w:basedOn w:val="Normal"/>
    <w:next w:val="Normal"/>
    <w:link w:val="Rubrik5Char"/>
    <w:uiPriority w:val="2"/>
    <w:semiHidden/>
    <w:rsid w:val="00B92795"/>
    <w:pPr>
      <w:keepNext/>
      <w:spacing w:before="120" w:after="0" w:line="300" w:lineRule="atLeast"/>
      <w:outlineLvl w:val="4"/>
    </w:pPr>
  </w:style>
  <w:style w:type="paragraph" w:styleId="Rubrik6">
    <w:name w:val="heading 6"/>
    <w:basedOn w:val="Normal"/>
    <w:next w:val="Normal"/>
    <w:link w:val="Rubrik6Char"/>
    <w:uiPriority w:val="2"/>
    <w:semiHidden/>
    <w:rsid w:val="00B92795"/>
    <w:pPr>
      <w:keepNext/>
      <w:spacing w:before="120" w:after="0" w:line="300" w:lineRule="atLeast"/>
      <w:outlineLvl w:val="5"/>
    </w:pPr>
    <w:rPr>
      <w:iCs/>
    </w:rPr>
  </w:style>
  <w:style w:type="paragraph" w:styleId="Rubrik7">
    <w:name w:val="heading 7"/>
    <w:basedOn w:val="Normal"/>
    <w:next w:val="Normal"/>
    <w:link w:val="Rubrik7Char"/>
    <w:semiHidden/>
    <w:qFormat/>
    <w:rsid w:val="00623E6D"/>
    <w:pPr>
      <w:keepNext/>
      <w:spacing w:before="120" w:after="0" w:line="300" w:lineRule="atLeast"/>
      <w:outlineLvl w:val="6"/>
    </w:pPr>
    <w:rPr>
      <w:rFonts w:eastAsiaTheme="majorEastAsia"/>
      <w:iCs/>
    </w:rPr>
  </w:style>
  <w:style w:type="paragraph" w:styleId="Rubrik8">
    <w:name w:val="heading 8"/>
    <w:basedOn w:val="Normal"/>
    <w:next w:val="Normal"/>
    <w:link w:val="Rubrik8Char"/>
    <w:semiHidden/>
    <w:unhideWhenUsed/>
    <w:qFormat/>
    <w:rsid w:val="00623E6D"/>
    <w:pPr>
      <w:keepNext/>
      <w:keepLines/>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unhideWhenUsed/>
    <w:qFormat/>
    <w:rsid w:val="00F65F16"/>
    <w:pPr>
      <w:keepNext/>
      <w:keepLines/>
      <w:tabs>
        <w:tab w:val="num" w:pos="567"/>
      </w:tabs>
      <w:spacing w:before="40" w:after="0"/>
      <w:ind w:hanging="567"/>
      <w:outlineLvl w:val="8"/>
    </w:pPr>
    <w:rPr>
      <w:rFonts w:asciiTheme="majorHAnsi" w:eastAsiaTheme="majorEastAsia" w:hAnsiTheme="majorHAnsi" w:cstheme="majorBidi"/>
      <w:i/>
      <w:iCs/>
      <w:color w:val="272727"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2"/>
    <w:rsid w:val="00F65F16"/>
    <w:rPr>
      <w:rFonts w:eastAsiaTheme="majorEastAsia"/>
      <w:b/>
      <w:bCs/>
      <w:sz w:val="36"/>
      <w:szCs w:val="28"/>
      <w:lang w:val="sv-SE"/>
    </w:rPr>
  </w:style>
  <w:style w:type="character" w:customStyle="1" w:styleId="Rubrik2Char">
    <w:name w:val="Rubrik 2 Char"/>
    <w:link w:val="Rubrik2"/>
    <w:uiPriority w:val="2"/>
    <w:rsid w:val="003C0679"/>
    <w:rPr>
      <w:rFonts w:eastAsiaTheme="majorEastAsia"/>
      <w:b/>
      <w:bCs/>
      <w:sz w:val="28"/>
      <w:szCs w:val="26"/>
      <w:lang w:val="sv-SE"/>
    </w:rPr>
  </w:style>
  <w:style w:type="character" w:customStyle="1" w:styleId="Rubrik3Char">
    <w:name w:val="Rubrik 3 Char"/>
    <w:link w:val="Rubrik3"/>
    <w:uiPriority w:val="2"/>
    <w:rsid w:val="004F2490"/>
    <w:rPr>
      <w:rFonts w:eastAsiaTheme="majorEastAsia"/>
      <w:b/>
      <w:bCs/>
      <w:sz w:val="24"/>
      <w:szCs w:val="32"/>
      <w:lang w:val="sv-SE"/>
    </w:rPr>
  </w:style>
  <w:style w:type="character" w:customStyle="1" w:styleId="Rubrik4Char">
    <w:name w:val="Rubrik 4 Char"/>
    <w:link w:val="Rubrik4"/>
    <w:uiPriority w:val="2"/>
    <w:rsid w:val="004F2490"/>
    <w:rPr>
      <w:bCs/>
      <w:i/>
      <w:iCs/>
      <w:lang w:val="sv-SE"/>
    </w:rPr>
  </w:style>
  <w:style w:type="character" w:customStyle="1" w:styleId="Rubrik5Char">
    <w:name w:val="Rubrik 5 Char"/>
    <w:link w:val="Rubrik5"/>
    <w:uiPriority w:val="2"/>
    <w:semiHidden/>
    <w:rsid w:val="00145644"/>
    <w:rPr>
      <w:lang w:val="sv-SE"/>
    </w:rPr>
  </w:style>
  <w:style w:type="character" w:customStyle="1" w:styleId="Rubrik6Char">
    <w:name w:val="Rubrik 6 Char"/>
    <w:link w:val="Rubrik6"/>
    <w:uiPriority w:val="2"/>
    <w:semiHidden/>
    <w:rsid w:val="00145644"/>
    <w:rPr>
      <w:iCs/>
      <w:lang w:val="sv-SE"/>
    </w:rPr>
  </w:style>
  <w:style w:type="numbering" w:customStyle="1" w:styleId="CompanyList">
    <w:name w:val="Company_List"/>
    <w:basedOn w:val="Ingenlista"/>
    <w:rsid w:val="00C4016F"/>
    <w:pPr>
      <w:numPr>
        <w:numId w:val="2"/>
      </w:numPr>
    </w:pPr>
  </w:style>
  <w:style w:type="numbering" w:customStyle="1" w:styleId="CompanyListBullet">
    <w:name w:val="Company_ListBullet"/>
    <w:basedOn w:val="Ingenlista"/>
    <w:rsid w:val="00C4016F"/>
    <w:pPr>
      <w:numPr>
        <w:numId w:val="3"/>
      </w:numPr>
    </w:pPr>
  </w:style>
  <w:style w:type="paragraph" w:styleId="Punktlista">
    <w:name w:val="List Bullet"/>
    <w:basedOn w:val="Normal"/>
    <w:semiHidden/>
    <w:rsid w:val="00B92795"/>
    <w:pPr>
      <w:numPr>
        <w:numId w:val="1"/>
      </w:numPr>
      <w:contextualSpacing/>
    </w:pPr>
  </w:style>
  <w:style w:type="paragraph" w:styleId="Sidhuvud">
    <w:name w:val="header"/>
    <w:basedOn w:val="Normal"/>
    <w:link w:val="SidhuvudChar"/>
    <w:uiPriority w:val="6"/>
    <w:rsid w:val="0009526D"/>
    <w:pPr>
      <w:tabs>
        <w:tab w:val="center" w:pos="4536"/>
        <w:tab w:val="right" w:pos="9072"/>
      </w:tabs>
      <w:spacing w:after="0" w:line="240" w:lineRule="atLeast"/>
    </w:pPr>
    <w:rPr>
      <w:sz w:val="24"/>
    </w:rPr>
  </w:style>
  <w:style w:type="character" w:customStyle="1" w:styleId="SidhuvudChar">
    <w:name w:val="Sidhuvud Char"/>
    <w:link w:val="Sidhuvud"/>
    <w:uiPriority w:val="6"/>
    <w:rsid w:val="00C33296"/>
    <w:rPr>
      <w:sz w:val="24"/>
      <w:lang w:val="sv-SE"/>
    </w:rPr>
  </w:style>
  <w:style w:type="paragraph" w:styleId="Sidfot">
    <w:name w:val="footer"/>
    <w:basedOn w:val="Normal"/>
    <w:link w:val="SidfotChar"/>
    <w:uiPriority w:val="6"/>
    <w:rsid w:val="00587605"/>
    <w:pPr>
      <w:tabs>
        <w:tab w:val="center" w:pos="4536"/>
        <w:tab w:val="right" w:pos="9072"/>
      </w:tabs>
      <w:spacing w:after="0" w:line="260" w:lineRule="exact"/>
    </w:pPr>
    <w:rPr>
      <w:sz w:val="18"/>
    </w:rPr>
  </w:style>
  <w:style w:type="character" w:customStyle="1" w:styleId="SidfotChar">
    <w:name w:val="Sidfot Char"/>
    <w:link w:val="Sidfot"/>
    <w:uiPriority w:val="6"/>
    <w:rsid w:val="00587605"/>
    <w:rPr>
      <w:sz w:val="18"/>
      <w:lang w:val="sv-SE"/>
    </w:rPr>
  </w:style>
  <w:style w:type="paragraph" w:styleId="Innehll1">
    <w:name w:val="toc 1"/>
    <w:basedOn w:val="Normal"/>
    <w:next w:val="Normal"/>
    <w:autoRedefine/>
    <w:uiPriority w:val="39"/>
    <w:rsid w:val="00B92795"/>
    <w:pPr>
      <w:tabs>
        <w:tab w:val="left" w:pos="680"/>
        <w:tab w:val="right" w:leader="dot" w:pos="8787"/>
      </w:tabs>
      <w:spacing w:before="120" w:after="0"/>
    </w:pPr>
    <w:rPr>
      <w:b/>
    </w:rPr>
  </w:style>
  <w:style w:type="paragraph" w:styleId="Innehll2">
    <w:name w:val="toc 2"/>
    <w:basedOn w:val="Normal"/>
    <w:next w:val="Normal"/>
    <w:autoRedefine/>
    <w:uiPriority w:val="39"/>
    <w:rsid w:val="00B92795"/>
    <w:pPr>
      <w:tabs>
        <w:tab w:val="left" w:pos="680"/>
        <w:tab w:val="right" w:leader="dot" w:pos="8787"/>
      </w:tabs>
      <w:spacing w:after="0"/>
    </w:pPr>
  </w:style>
  <w:style w:type="paragraph" w:styleId="Innehll3">
    <w:name w:val="toc 3"/>
    <w:basedOn w:val="Normal"/>
    <w:next w:val="Normal"/>
    <w:autoRedefine/>
    <w:uiPriority w:val="39"/>
    <w:rsid w:val="00B92795"/>
    <w:pPr>
      <w:tabs>
        <w:tab w:val="left" w:pos="680"/>
        <w:tab w:val="right" w:leader="dot" w:pos="8787"/>
      </w:tabs>
      <w:spacing w:after="0"/>
    </w:pPr>
  </w:style>
  <w:style w:type="paragraph" w:styleId="Innehll4">
    <w:name w:val="toc 4"/>
    <w:basedOn w:val="Normal"/>
    <w:next w:val="Normal"/>
    <w:autoRedefine/>
    <w:uiPriority w:val="4"/>
    <w:semiHidden/>
    <w:rsid w:val="00B92795"/>
    <w:pPr>
      <w:spacing w:after="0"/>
      <w:ind w:left="660"/>
    </w:pPr>
  </w:style>
  <w:style w:type="paragraph" w:styleId="Liststycke">
    <w:name w:val="List Paragraph"/>
    <w:basedOn w:val="Normal"/>
    <w:uiPriority w:val="34"/>
    <w:semiHidden/>
    <w:rsid w:val="00910380"/>
    <w:pPr>
      <w:ind w:left="720"/>
      <w:contextualSpacing/>
    </w:pPr>
  </w:style>
  <w:style w:type="paragraph" w:customStyle="1" w:styleId="Profile">
    <w:name w:val="Profile"/>
    <w:basedOn w:val="Normal"/>
    <w:semiHidden/>
    <w:rsid w:val="0021499D"/>
    <w:pPr>
      <w:spacing w:after="0"/>
    </w:pPr>
  </w:style>
  <w:style w:type="character" w:customStyle="1" w:styleId="Rubrik7Char">
    <w:name w:val="Rubrik 7 Char"/>
    <w:basedOn w:val="Standardstycketeckensnitt"/>
    <w:link w:val="Rubrik7"/>
    <w:semiHidden/>
    <w:rsid w:val="00145644"/>
    <w:rPr>
      <w:rFonts w:eastAsiaTheme="majorEastAsia"/>
      <w:iCs/>
      <w:lang w:val="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uiPriority w:val="12"/>
    <w:rsid w:val="00D35829"/>
    <w:pPr>
      <w:tabs>
        <w:tab w:val="left" w:pos="4253"/>
      </w:tabs>
      <w:spacing w:after="0" w:line="240" w:lineRule="atLeast"/>
    </w:pPr>
    <w:rPr>
      <w:sz w:val="17"/>
    </w:rPr>
  </w:style>
  <w:style w:type="paragraph" w:customStyle="1" w:styleId="Tillgg">
    <w:name w:val="Tillägg"/>
    <w:basedOn w:val="Sidfot"/>
    <w:semiHidden/>
    <w:rsid w:val="007C3550"/>
    <w:rPr>
      <w:sz w:val="20"/>
    </w:rPr>
  </w:style>
  <w:style w:type="paragraph" w:customStyle="1" w:styleId="Normalutanavstnd">
    <w:name w:val="Normal utan avstånd"/>
    <w:basedOn w:val="Normal"/>
    <w:uiPriority w:val="1"/>
    <w:rsid w:val="00FF4F94"/>
    <w:pPr>
      <w:spacing w:after="0"/>
    </w:pPr>
  </w:style>
  <w:style w:type="paragraph" w:customStyle="1" w:styleId="Etikett">
    <w:name w:val="Etikett"/>
    <w:uiPriority w:val="7"/>
    <w:semiHidden/>
    <w:rsid w:val="00592FFE"/>
    <w:pPr>
      <w:spacing w:after="0" w:line="190" w:lineRule="atLeast"/>
    </w:pPr>
    <w:rPr>
      <w:sz w:val="12"/>
      <w:lang w:val="sv-SE"/>
    </w:rPr>
  </w:style>
  <w:style w:type="paragraph" w:customStyle="1" w:styleId="Sidhuvudfrstasida">
    <w:name w:val="Sidhuvud förstasida"/>
    <w:basedOn w:val="Sidhuvud"/>
    <w:semiHidden/>
    <w:rsid w:val="00713672"/>
  </w:style>
  <w:style w:type="paragraph" w:customStyle="1" w:styleId="Framsida-Datum">
    <w:name w:val="Framsida - Datum"/>
    <w:basedOn w:val="Dokumenthuvud"/>
    <w:next w:val="Dokumenthuvud"/>
    <w:uiPriority w:val="1"/>
    <w:rsid w:val="00175AD7"/>
    <w:pPr>
      <w:spacing w:line="260" w:lineRule="atLeast"/>
      <w:ind w:left="170"/>
    </w:pPr>
    <w:rPr>
      <w:sz w:val="26"/>
    </w:rPr>
  </w:style>
  <w:style w:type="paragraph" w:customStyle="1" w:styleId="Doldrad">
    <w:name w:val="Dold rad"/>
    <w:basedOn w:val="Sidhuvudfrstasida"/>
    <w:uiPriority w:val="14"/>
    <w:rsid w:val="00A3322B"/>
    <w:pPr>
      <w:spacing w:line="240" w:lineRule="auto"/>
    </w:pPr>
    <w:rPr>
      <w:sz w:val="2"/>
    </w:rPr>
  </w:style>
  <w:style w:type="paragraph" w:styleId="Innehll5">
    <w:name w:val="toc 5"/>
    <w:basedOn w:val="Normal"/>
    <w:next w:val="Normal"/>
    <w:autoRedefine/>
    <w:uiPriority w:val="4"/>
    <w:semiHidden/>
    <w:rsid w:val="000C3965"/>
    <w:pPr>
      <w:spacing w:after="100"/>
      <w:ind w:left="800"/>
    </w:pPr>
  </w:style>
  <w:style w:type="paragraph" w:customStyle="1" w:styleId="Hjlptext">
    <w:name w:val="Hjälptext"/>
    <w:basedOn w:val="Normal"/>
    <w:uiPriority w:val="14"/>
    <w:semiHidden/>
    <w:rsid w:val="00F45835"/>
    <w:rPr>
      <w:color w:val="5F559B" w:themeColor="accent4"/>
    </w:rPr>
  </w:style>
  <w:style w:type="paragraph" w:customStyle="1" w:styleId="Framsida-Huvudrubrik">
    <w:name w:val="Framsida - Huvudrubrik"/>
    <w:basedOn w:val="Normal"/>
    <w:qFormat/>
    <w:rsid w:val="00175AD7"/>
    <w:pPr>
      <w:spacing w:before="240" w:after="240" w:line="816" w:lineRule="exact"/>
      <w:ind w:left="170" w:right="1106"/>
    </w:pPr>
    <w:rPr>
      <w:b/>
      <w:color w:val="7D3385" w:themeColor="background2"/>
      <w:sz w:val="68"/>
      <w:szCs w:val="76"/>
    </w:rPr>
  </w:style>
  <w:style w:type="paragraph" w:customStyle="1" w:styleId="Framsida-Underrubrik">
    <w:name w:val="Framsida - Underrubrik"/>
    <w:basedOn w:val="Normal"/>
    <w:qFormat/>
    <w:rsid w:val="00175AD7"/>
    <w:pPr>
      <w:spacing w:before="120" w:line="400" w:lineRule="exact"/>
      <w:ind w:left="170"/>
    </w:pPr>
    <w:rPr>
      <w:rFonts w:asciiTheme="majorHAnsi" w:hAnsiTheme="majorHAnsi"/>
      <w:b/>
    </w:rPr>
  </w:style>
  <w:style w:type="paragraph" w:styleId="Innehllsfrteckningsrubrik">
    <w:name w:val="TOC Heading"/>
    <w:basedOn w:val="Rubrik1"/>
    <w:next w:val="Normal"/>
    <w:uiPriority w:val="39"/>
    <w:unhideWhenUsed/>
    <w:rsid w:val="0068017A"/>
    <w:pPr>
      <w:keepLines/>
      <w:spacing w:before="240" w:after="0"/>
      <w:outlineLvl w:val="9"/>
    </w:pPr>
    <w:rPr>
      <w:rFonts w:asciiTheme="majorHAnsi" w:hAnsiTheme="majorHAnsi" w:cstheme="majorBidi"/>
      <w:bCs w:val="0"/>
      <w:szCs w:val="32"/>
      <w:lang w:eastAsia="sv-SE"/>
    </w:rPr>
  </w:style>
  <w:style w:type="character" w:customStyle="1" w:styleId="Rubrik9Char">
    <w:name w:val="Rubrik 9 Char"/>
    <w:basedOn w:val="Standardstycketeckensnitt"/>
    <w:link w:val="Rubrik9"/>
    <w:semiHidden/>
    <w:rsid w:val="00F65F16"/>
    <w:rPr>
      <w:rFonts w:asciiTheme="majorHAnsi" w:eastAsiaTheme="majorEastAsia" w:hAnsiTheme="majorHAnsi" w:cstheme="majorBidi"/>
      <w:i/>
      <w:iCs/>
      <w:color w:val="272727" w:themeColor="text1" w:themeTint="D8"/>
      <w:sz w:val="21"/>
      <w:szCs w:val="21"/>
    </w:rPr>
  </w:style>
  <w:style w:type="paragraph" w:styleId="Normalwebb">
    <w:name w:val="Normal (Web)"/>
    <w:basedOn w:val="Normal"/>
    <w:uiPriority w:val="99"/>
    <w:semiHidden/>
    <w:unhideWhenUsed/>
    <w:rsid w:val="004A4239"/>
    <w:pPr>
      <w:spacing w:before="100" w:beforeAutospacing="1" w:after="100" w:afterAutospacing="1" w:line="240" w:lineRule="auto"/>
    </w:pPr>
    <w:rPr>
      <w:rFonts w:ascii="Times New Roman" w:eastAsiaTheme="minorEastAsia" w:hAnsi="Times New Roman"/>
      <w:sz w:val="24"/>
      <w:szCs w:val="24"/>
      <w:lang w:eastAsia="sv-SE"/>
    </w:rPr>
  </w:style>
  <w:style w:type="paragraph" w:customStyle="1" w:styleId="Bild">
    <w:name w:val="Bild"/>
    <w:uiPriority w:val="6"/>
    <w:rsid w:val="00C33296"/>
    <w:pPr>
      <w:spacing w:after="0" w:line="240" w:lineRule="auto"/>
      <w:jc w:val="center"/>
    </w:pPr>
    <w:rPr>
      <w:sz w:val="28"/>
      <w:shd w:val="clear" w:color="auto" w:fill="E0E0E0"/>
      <w:lang w:val="sv-SE"/>
    </w:rPr>
  </w:style>
  <w:style w:type="paragraph" w:customStyle="1" w:styleId="Tomt">
    <w:name w:val="Tomt"/>
    <w:basedOn w:val="Normal"/>
    <w:uiPriority w:val="6"/>
    <w:semiHidden/>
    <w:rsid w:val="008A2EF8"/>
    <w:pPr>
      <w:spacing w:after="0" w:line="240" w:lineRule="auto"/>
    </w:pPr>
    <w:rPr>
      <w:sz w:val="2"/>
    </w:rPr>
  </w:style>
  <w:style w:type="character" w:styleId="Hyperlnk">
    <w:name w:val="Hyperlink"/>
    <w:basedOn w:val="Standardstycketeckensnitt"/>
    <w:uiPriority w:val="99"/>
    <w:rsid w:val="00E4062D"/>
    <w:rPr>
      <w:color w:val="0C0C0C" w:themeColor="hyperlink"/>
      <w:u w:val="single"/>
    </w:rPr>
  </w:style>
  <w:style w:type="character" w:styleId="Olstomnmnande">
    <w:name w:val="Unresolved Mention"/>
    <w:basedOn w:val="Standardstycketeckensnitt"/>
    <w:uiPriority w:val="99"/>
    <w:semiHidden/>
    <w:unhideWhenUsed/>
    <w:rsid w:val="00E4062D"/>
    <w:rPr>
      <w:color w:val="605E5C"/>
      <w:shd w:val="clear" w:color="auto" w:fill="E1DFDD"/>
    </w:rPr>
  </w:style>
  <w:style w:type="paragraph" w:customStyle="1" w:styleId="Rubrik1Nr">
    <w:name w:val="Rubrik 1 Nr"/>
    <w:basedOn w:val="Normal"/>
    <w:next w:val="Normal"/>
    <w:uiPriority w:val="3"/>
    <w:rsid w:val="00F65F16"/>
    <w:pPr>
      <w:keepNext/>
      <w:numPr>
        <w:numId w:val="4"/>
      </w:numPr>
      <w:spacing w:before="360" w:after="180" w:line="432" w:lineRule="exact"/>
      <w:outlineLvl w:val="0"/>
    </w:pPr>
    <w:rPr>
      <w:rFonts w:asciiTheme="majorHAnsi" w:hAnsiTheme="majorHAnsi" w:cs="Arial"/>
      <w:b/>
      <w:sz w:val="36"/>
      <w:szCs w:val="36"/>
    </w:rPr>
  </w:style>
  <w:style w:type="paragraph" w:customStyle="1" w:styleId="Rubrik2Nr">
    <w:name w:val="Rubrik 2 Nr"/>
    <w:basedOn w:val="Normal"/>
    <w:next w:val="Normal"/>
    <w:link w:val="Rubrik2NrChar"/>
    <w:uiPriority w:val="3"/>
    <w:rsid w:val="003C0679"/>
    <w:pPr>
      <w:keepNext/>
      <w:numPr>
        <w:ilvl w:val="1"/>
        <w:numId w:val="4"/>
      </w:numPr>
      <w:spacing w:before="360" w:after="0" w:line="336" w:lineRule="exact"/>
      <w:outlineLvl w:val="1"/>
    </w:pPr>
    <w:rPr>
      <w:rFonts w:asciiTheme="majorHAnsi" w:hAnsiTheme="majorHAnsi" w:cs="Arial"/>
      <w:b/>
      <w:color w:val="000000" w:themeColor="text1"/>
      <w:sz w:val="28"/>
      <w:szCs w:val="24"/>
    </w:rPr>
  </w:style>
  <w:style w:type="character" w:customStyle="1" w:styleId="Rubrik2NrChar">
    <w:name w:val="Rubrik 2 Nr Char"/>
    <w:basedOn w:val="Standardstycketeckensnitt"/>
    <w:link w:val="Rubrik2Nr"/>
    <w:uiPriority w:val="3"/>
    <w:rsid w:val="003C0679"/>
    <w:rPr>
      <w:rFonts w:asciiTheme="majorHAnsi" w:hAnsiTheme="majorHAnsi" w:cs="Arial"/>
      <w:b/>
      <w:color w:val="000000" w:themeColor="text1"/>
      <w:sz w:val="28"/>
      <w:szCs w:val="24"/>
      <w:lang w:val="sv-SE"/>
    </w:rPr>
  </w:style>
  <w:style w:type="paragraph" w:customStyle="1" w:styleId="Rubrik3Nr">
    <w:name w:val="Rubrik 3 Nr"/>
    <w:basedOn w:val="Rubrik3"/>
    <w:next w:val="Normal"/>
    <w:link w:val="Rubrik3NrChar"/>
    <w:uiPriority w:val="3"/>
    <w:rsid w:val="004F2490"/>
    <w:pPr>
      <w:numPr>
        <w:ilvl w:val="2"/>
        <w:numId w:val="4"/>
      </w:numPr>
    </w:pPr>
    <w:rPr>
      <w:rFonts w:asciiTheme="majorHAnsi" w:hAnsiTheme="majorHAnsi" w:cs="Arial"/>
      <w:color w:val="000000" w:themeColor="text1"/>
      <w:szCs w:val="34"/>
    </w:rPr>
  </w:style>
  <w:style w:type="character" w:customStyle="1" w:styleId="Rubrik3NrChar">
    <w:name w:val="Rubrik 3 Nr Char"/>
    <w:basedOn w:val="Standardstycketeckensnitt"/>
    <w:link w:val="Rubrik3Nr"/>
    <w:uiPriority w:val="3"/>
    <w:rsid w:val="007F2782"/>
    <w:rPr>
      <w:rFonts w:asciiTheme="majorHAnsi" w:eastAsiaTheme="majorEastAsia" w:hAnsiTheme="majorHAnsi" w:cs="Arial"/>
      <w:b/>
      <w:bCs/>
      <w:color w:val="000000" w:themeColor="text1"/>
      <w:sz w:val="24"/>
      <w:szCs w:val="34"/>
      <w:lang w:val="sv-SE"/>
    </w:rPr>
  </w:style>
  <w:style w:type="paragraph" w:customStyle="1" w:styleId="Heading4No">
    <w:name w:val="Heading_4 No"/>
    <w:basedOn w:val="Normal"/>
    <w:next w:val="Normal"/>
    <w:semiHidden/>
    <w:rsid w:val="00F65F16"/>
    <w:pPr>
      <w:keepNext/>
      <w:tabs>
        <w:tab w:val="num" w:pos="567"/>
      </w:tabs>
      <w:spacing w:before="360" w:after="0"/>
      <w:ind w:hanging="567"/>
      <w:outlineLvl w:val="3"/>
    </w:pPr>
    <w:rPr>
      <w:b/>
      <w:color w:val="000000" w:themeColor="text1"/>
      <w:sz w:val="18"/>
      <w:szCs w:val="18"/>
      <w:lang w:val="en-GB"/>
    </w:rPr>
  </w:style>
  <w:style w:type="paragraph" w:customStyle="1" w:styleId="Rubrik51">
    <w:name w:val="Rubrik 51"/>
    <w:basedOn w:val="Normal"/>
    <w:semiHidden/>
    <w:rsid w:val="00F65F16"/>
  </w:style>
  <w:style w:type="paragraph" w:customStyle="1" w:styleId="Rubrik61">
    <w:name w:val="Rubrik 61"/>
    <w:basedOn w:val="Normal"/>
    <w:semiHidden/>
    <w:rsid w:val="00F65F16"/>
  </w:style>
  <w:style w:type="paragraph" w:customStyle="1" w:styleId="Rubrik71">
    <w:name w:val="Rubrik 71"/>
    <w:basedOn w:val="Normal"/>
    <w:semiHidden/>
    <w:rsid w:val="00F65F16"/>
  </w:style>
  <w:style w:type="paragraph" w:customStyle="1" w:styleId="Rubrik81">
    <w:name w:val="Rubrik 81"/>
    <w:basedOn w:val="Normal"/>
    <w:semiHidden/>
    <w:rsid w:val="00F65F16"/>
  </w:style>
  <w:style w:type="paragraph" w:customStyle="1" w:styleId="Rubrik91">
    <w:name w:val="Rubrik 91"/>
    <w:basedOn w:val="Normal"/>
    <w:semiHidden/>
    <w:rsid w:val="00F65F16"/>
  </w:style>
  <w:style w:type="paragraph" w:customStyle="1" w:styleId="Default">
    <w:name w:val="Default"/>
    <w:rsid w:val="00DA03A7"/>
    <w:pPr>
      <w:autoSpaceDE w:val="0"/>
      <w:autoSpaceDN w:val="0"/>
      <w:adjustRightInd w:val="0"/>
      <w:spacing w:after="0" w:line="240" w:lineRule="auto"/>
    </w:pPr>
    <w:rPr>
      <w:rFonts w:ascii="Arial" w:hAnsi="Arial" w:cs="Arial"/>
      <w:color w:val="000000"/>
      <w:sz w:val="24"/>
      <w:szCs w:val="24"/>
      <w:lang w:val="sv-SE"/>
    </w:rPr>
  </w:style>
  <w:style w:type="table" w:customStyle="1" w:styleId="Tabellrutnt1">
    <w:name w:val="Tabellrutnät1"/>
    <w:basedOn w:val="Normaltabell"/>
    <w:next w:val="Tabellrutnt"/>
    <w:uiPriority w:val="59"/>
    <w:rsid w:val="003D3278"/>
    <w:pPr>
      <w:widowControl w:val="0"/>
      <w:autoSpaceDE w:val="0"/>
      <w:autoSpaceDN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semiHidden/>
    <w:unhideWhenUsed/>
    <w:rsid w:val="00DB2528"/>
    <w:rPr>
      <w:sz w:val="16"/>
      <w:szCs w:val="16"/>
    </w:rPr>
  </w:style>
  <w:style w:type="paragraph" w:styleId="Kommentarer">
    <w:name w:val="annotation text"/>
    <w:basedOn w:val="Normal"/>
    <w:link w:val="KommentarerChar"/>
    <w:semiHidden/>
    <w:unhideWhenUsed/>
    <w:rsid w:val="00DB2528"/>
    <w:pPr>
      <w:spacing w:line="240" w:lineRule="auto"/>
    </w:pPr>
  </w:style>
  <w:style w:type="character" w:customStyle="1" w:styleId="KommentarerChar">
    <w:name w:val="Kommentarer Char"/>
    <w:basedOn w:val="Standardstycketeckensnitt"/>
    <w:link w:val="Kommentarer"/>
    <w:semiHidden/>
    <w:rsid w:val="00DB2528"/>
    <w:rPr>
      <w:lang w:val="sv-SE"/>
    </w:rPr>
  </w:style>
  <w:style w:type="paragraph" w:styleId="Kommentarsmne">
    <w:name w:val="annotation subject"/>
    <w:basedOn w:val="Kommentarer"/>
    <w:next w:val="Kommentarer"/>
    <w:link w:val="KommentarsmneChar"/>
    <w:semiHidden/>
    <w:unhideWhenUsed/>
    <w:rsid w:val="00DB2528"/>
    <w:rPr>
      <w:b/>
      <w:bCs/>
    </w:rPr>
  </w:style>
  <w:style w:type="character" w:customStyle="1" w:styleId="KommentarsmneChar">
    <w:name w:val="Kommentarsämne Char"/>
    <w:basedOn w:val="KommentarerChar"/>
    <w:link w:val="Kommentarsmne"/>
    <w:semiHidden/>
    <w:rsid w:val="00DB2528"/>
    <w:rPr>
      <w:b/>
      <w:bCs/>
      <w:lang w:val="sv-SE"/>
    </w:rPr>
  </w:style>
  <w:style w:type="paragraph" w:styleId="Ballongtext">
    <w:name w:val="Balloon Text"/>
    <w:basedOn w:val="Normal"/>
    <w:link w:val="BallongtextChar"/>
    <w:semiHidden/>
    <w:unhideWhenUsed/>
    <w:rsid w:val="00DB252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DB2528"/>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Word\Rapport.dotm" TargetMode="External"/></Relationships>
</file>

<file path=word/theme/theme1.xml><?xml version="1.0" encoding="utf-8"?>
<a:theme xmlns:a="http://schemas.openxmlformats.org/drawingml/2006/main" name="Office-tema">
  <a:themeElements>
    <a:clrScheme name="Södertälje kommun - Färgschema 1">
      <a:dk1>
        <a:srgbClr val="000000"/>
      </a:dk1>
      <a:lt1>
        <a:srgbClr val="FFFFFF"/>
      </a:lt1>
      <a:dk2>
        <a:srgbClr val="FFED00"/>
      </a:dk2>
      <a:lt2>
        <a:srgbClr val="7D3385"/>
      </a:lt2>
      <a:accent1>
        <a:srgbClr val="C40079"/>
      </a:accent1>
      <a:accent2>
        <a:srgbClr val="2FA09A"/>
      </a:accent2>
      <a:accent3>
        <a:srgbClr val="DC8C00"/>
      </a:accent3>
      <a:accent4>
        <a:srgbClr val="5F559B"/>
      </a:accent4>
      <a:accent5>
        <a:srgbClr val="84B448"/>
      </a:accent5>
      <a:accent6>
        <a:srgbClr val="009FE2"/>
      </a:accent6>
      <a:hlink>
        <a:srgbClr val="0C0C0C"/>
      </a:hlink>
      <a:folHlink>
        <a:srgbClr val="000000"/>
      </a:folHlink>
    </a:clrScheme>
    <a:fontScheme name="Södertälje kommun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9904-E487-423A-BE80-B50692FB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Rapport.dotm</Template>
  <TotalTime>0</TotalTime>
  <Pages>27</Pages>
  <Words>11680</Words>
  <Characters>61906</Characters>
  <Application>Microsoft Office Word</Application>
  <DocSecurity>0</DocSecurity>
  <Lines>515</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Mål och Budget</vt:lpstr>
      <vt:lpstr/>
    </vt:vector>
  </TitlesOfParts>
  <Company/>
  <LinksUpToDate>false</LinksUpToDate>
  <CharactersWithSpaces>73440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och Budget</dc:title>
  <dc:subject/>
  <dc:creator>Landquist Jon (Ksk)</dc:creator>
  <cp:keywords/>
  <dc:description/>
  <cp:lastModifiedBy>Anu Ritjärvi (Ksk)</cp:lastModifiedBy>
  <cp:revision>2</cp:revision>
  <cp:lastPrinted>2020-10-28T21:40:00Z</cp:lastPrinted>
  <dcterms:created xsi:type="dcterms:W3CDTF">2022-01-27T09:37:00Z</dcterms:created>
  <dcterms:modified xsi:type="dcterms:W3CDTF">2022-01-27T09:37:00Z</dcterms:modified>
</cp:coreProperties>
</file>